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A6" w:rsidRPr="007F08F6" w:rsidRDefault="00FE2E46" w:rsidP="00A75BA6">
      <w:pPr>
        <w:pStyle w:val="a4"/>
        <w:tabs>
          <w:tab w:val="clear" w:pos="526"/>
          <w:tab w:val="left" w:pos="284"/>
        </w:tabs>
        <w:spacing w:before="0" w:after="0"/>
        <w:ind w:leftChars="-60" w:left="-144" w:right="-143" w:firstLineChars="0" w:firstLine="0"/>
        <w:rPr>
          <w:rFonts w:ascii="標楷體" w:hAnsi="標楷體" w:cs="標楷體"/>
          <w:b/>
          <w:color w:val="000000"/>
          <w:sz w:val="32"/>
          <w:szCs w:val="32"/>
        </w:rPr>
      </w:pPr>
      <w:r>
        <w:rPr>
          <w:rFonts w:hAnsi="標楷體"/>
          <w:noProof/>
        </w:rPr>
        <w:pict>
          <v:rect id="矩形 1" o:spid="_x0000_s1026" style="position:absolute;left:0;text-align:left;margin-left:433.2pt;margin-top:-21.65pt;width:53.25pt;height:24.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" filled="f" strokecolor="black [3213]" strokeweight="1pt">
            <v:textbox>
              <w:txbxContent>
                <w:p w:rsidR="00A75BA6" w:rsidRPr="00FD5D2E" w:rsidRDefault="00A75BA6" w:rsidP="00A75BA6">
                  <w:pPr>
                    <w:jc w:val="center"/>
                    <w:rPr>
                      <w:b/>
                      <w:color w:val="000000" w:themeColor="text1"/>
                    </w:rPr>
                  </w:pPr>
                  <w:r w:rsidRPr="00FD5D2E">
                    <w:rPr>
                      <w:rFonts w:hint="eastAsia"/>
                      <w:b/>
                      <w:color w:val="000000" w:themeColor="text1"/>
                    </w:rPr>
                    <w:t>附件</w:t>
                  </w:r>
                  <w:r w:rsidR="0043224B">
                    <w:rPr>
                      <w:rFonts w:hint="eastAsia"/>
                      <w:b/>
                      <w:color w:val="000000" w:themeColor="text1"/>
                    </w:rPr>
                    <w:t>二</w:t>
                  </w:r>
                </w:p>
                <w:p w:rsidR="00A75BA6" w:rsidRPr="00A33B36" w:rsidRDefault="00A75BA6" w:rsidP="00A75BA6">
                  <w:pPr>
                    <w:jc w:val="center"/>
                  </w:pPr>
                </w:p>
              </w:txbxContent>
            </v:textbox>
          </v:rect>
        </w:pict>
      </w:r>
      <w:r w:rsidR="00A75BA6">
        <w:rPr>
          <w:rFonts w:ascii="標楷體" w:hAnsi="標楷體" w:cs="標楷體" w:hint="eastAsia"/>
          <w:b/>
          <w:color w:val="000000"/>
          <w:sz w:val="32"/>
          <w:szCs w:val="32"/>
        </w:rPr>
        <w:t xml:space="preserve"> </w:t>
      </w:r>
      <w:r w:rsidR="00A75BA6" w:rsidRPr="002029DA">
        <w:rPr>
          <w:rFonts w:ascii="標楷體" w:hAnsi="標楷體" w:cs="標楷體" w:hint="eastAsia"/>
          <w:b/>
          <w:color w:val="000000"/>
          <w:sz w:val="32"/>
          <w:szCs w:val="32"/>
        </w:rPr>
        <w:t xml:space="preserve">                        </w:t>
      </w:r>
      <w:r w:rsidR="00A75BA6" w:rsidRPr="007F08F6">
        <w:rPr>
          <w:rFonts w:ascii="標楷體" w:hAnsi="標楷體" w:cs="標楷體" w:hint="eastAsia"/>
          <w:b/>
          <w:color w:val="000000"/>
          <w:sz w:val="32"/>
          <w:szCs w:val="32"/>
        </w:rPr>
        <w:t xml:space="preserve"> 高雄市政府</w:t>
      </w:r>
    </w:p>
    <w:p w:rsidR="00B767E0"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7F08F6">
        <w:rPr>
          <w:rFonts w:ascii="標楷體" w:hAnsi="標楷體" w:cs="標楷體" w:hint="eastAsia"/>
          <w:b/>
          <w:color w:val="000000"/>
          <w:sz w:val="32"/>
          <w:szCs w:val="32"/>
        </w:rPr>
        <w:t>「高雄多功能經貿園區</w:t>
      </w:r>
      <w:proofErr w:type="gramStart"/>
      <w:r w:rsidRPr="007F08F6">
        <w:rPr>
          <w:rFonts w:ascii="標楷體" w:hAnsi="標楷體" w:cs="標楷體" w:hint="eastAsia"/>
          <w:b/>
          <w:color w:val="000000"/>
          <w:sz w:val="32"/>
          <w:szCs w:val="32"/>
        </w:rPr>
        <w:t>特</w:t>
      </w:r>
      <w:proofErr w:type="gramEnd"/>
      <w:r w:rsidRPr="007F08F6">
        <w:rPr>
          <w:rFonts w:ascii="標楷體" w:hAnsi="標楷體" w:cs="標楷體" w:hint="eastAsia"/>
          <w:b/>
          <w:color w:val="000000"/>
          <w:sz w:val="32"/>
          <w:szCs w:val="32"/>
        </w:rPr>
        <w:t>貿三都市更新案</w:t>
      </w:r>
    </w:p>
    <w:p w:rsidR="00A75BA6" w:rsidRPr="007F08F6"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7F08F6">
        <w:rPr>
          <w:rFonts w:ascii="標楷體" w:hAnsi="標楷體" w:cs="標楷體" w:hint="eastAsia"/>
          <w:b/>
          <w:color w:val="000000"/>
          <w:sz w:val="32"/>
          <w:szCs w:val="32"/>
        </w:rPr>
        <w:t>都市更新事業實施案</w:t>
      </w:r>
      <w:r w:rsidR="00B767E0">
        <w:rPr>
          <w:rFonts w:ascii="標楷體" w:hAnsi="標楷體" w:cs="標楷體" w:hint="eastAsia"/>
          <w:b/>
          <w:color w:val="000000"/>
          <w:sz w:val="32"/>
          <w:szCs w:val="32"/>
        </w:rPr>
        <w:t>(北基地)</w:t>
      </w:r>
      <w:r w:rsidRPr="007F08F6">
        <w:rPr>
          <w:rFonts w:ascii="標楷體" w:hAnsi="標楷體" w:cs="標楷體" w:hint="eastAsia"/>
          <w:b/>
          <w:color w:val="000000"/>
          <w:sz w:val="32"/>
          <w:szCs w:val="32"/>
        </w:rPr>
        <w:t>」</w:t>
      </w:r>
    </w:p>
    <w:p w:rsidR="00A75BA6" w:rsidRPr="007F08F6" w:rsidRDefault="00A75BA6" w:rsidP="00A75BA6">
      <w:pPr>
        <w:pStyle w:val="a4"/>
        <w:spacing w:before="0" w:after="0"/>
        <w:ind w:leftChars="-118" w:left="95" w:hangingChars="118" w:hanging="378"/>
        <w:jc w:val="center"/>
        <w:rPr>
          <w:rFonts w:ascii="標楷體" w:hAnsi="標楷體"/>
          <w:b/>
          <w:sz w:val="32"/>
          <w:szCs w:val="32"/>
        </w:rPr>
      </w:pPr>
      <w:r w:rsidRPr="007F08F6">
        <w:rPr>
          <w:rFonts w:ascii="標楷體" w:hAnsi="標楷體" w:hint="eastAsia"/>
          <w:b/>
          <w:sz w:val="32"/>
          <w:szCs w:val="32"/>
        </w:rPr>
        <w:t xml:space="preserve">   </w:t>
      </w:r>
      <w:r w:rsidR="00C76B1E" w:rsidRPr="007F08F6">
        <w:rPr>
          <w:rFonts w:ascii="標楷體" w:hAnsi="標楷體" w:hint="eastAsia"/>
          <w:b/>
          <w:sz w:val="32"/>
          <w:szCs w:val="32"/>
        </w:rPr>
        <w:t xml:space="preserve">   </w:t>
      </w:r>
      <w:r w:rsidRPr="007F08F6">
        <w:rPr>
          <w:rFonts w:ascii="標楷體" w:hAnsi="標楷體" w:hint="eastAsia"/>
          <w:b/>
          <w:sz w:val="32"/>
          <w:szCs w:val="32"/>
        </w:rPr>
        <w:t>【</w:t>
      </w:r>
      <w:r w:rsidR="00C76B1E" w:rsidRPr="007F08F6">
        <w:rPr>
          <w:rFonts w:ascii="標楷體" w:hAnsi="標楷體" w:hint="eastAsia"/>
          <w:b/>
          <w:sz w:val="32"/>
          <w:szCs w:val="32"/>
        </w:rPr>
        <w:t>申請人資格</w:t>
      </w:r>
      <w:r w:rsidRPr="007F08F6">
        <w:rPr>
          <w:rFonts w:ascii="標楷體" w:hAnsi="標楷體" w:hint="eastAsia"/>
          <w:b/>
          <w:sz w:val="32"/>
          <w:szCs w:val="32"/>
        </w:rPr>
        <w:t>】</w:t>
      </w:r>
    </w:p>
    <w:p w:rsidR="00AC225F" w:rsidRPr="007F08F6" w:rsidRDefault="00AC225F" w:rsidP="00D97DF9">
      <w:pPr>
        <w:pStyle w:val="111"/>
        <w:spacing w:beforeLines="50" w:before="180" w:afterLines="50" w:after="180" w:line="360" w:lineRule="exact"/>
        <w:ind w:leftChars="239" w:left="574" w:firstLineChars="204" w:firstLine="490"/>
        <w:rPr>
          <w:rFonts w:ascii="標楷體" w:hAnsi="標楷體" w:cs="Times New Roman"/>
          <w:color w:val="000000" w:themeColor="text1"/>
          <w:kern w:val="0"/>
        </w:rPr>
      </w:pPr>
      <w:r w:rsidRPr="007F08F6">
        <w:rPr>
          <w:rFonts w:ascii="標楷體" w:hAnsi="標楷體" w:cs="Times New Roman" w:hint="eastAsia"/>
          <w:color w:val="000000" w:themeColor="text1"/>
          <w:kern w:val="0"/>
        </w:rPr>
        <w:t>本案申請人應同時具備「一般資格」、「財務資格」以及「開發能力資格」。</w:t>
      </w:r>
    </w:p>
    <w:p w:rsidR="00AC225F" w:rsidRPr="007F08F6" w:rsidRDefault="00AC225F" w:rsidP="00456CFC">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0" w:name="_Toc535335332"/>
      <w:r w:rsidRPr="007F08F6">
        <w:rPr>
          <w:rFonts w:ascii="標楷體" w:hAnsi="標楷體" w:hint="eastAsia"/>
          <w:color w:val="000000" w:themeColor="text1"/>
        </w:rPr>
        <w:t>通則</w:t>
      </w:r>
      <w:bookmarkEnd w:id="0"/>
    </w:p>
    <w:p w:rsidR="00AC225F" w:rsidRPr="007F08F6" w:rsidRDefault="00AC225F" w:rsidP="00D97DF9">
      <w:pPr>
        <w:pStyle w:val="11110"/>
        <w:numPr>
          <w:ilvl w:val="3"/>
          <w:numId w:val="17"/>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1" w:name="_Toc535335333"/>
      <w:r w:rsidRPr="007F08F6">
        <w:rPr>
          <w:rFonts w:ascii="標楷體" w:hAnsi="標楷體" w:hint="eastAsia"/>
          <w:color w:val="000000" w:themeColor="text1"/>
        </w:rPr>
        <w:t>申請人可為單一公司或企業聯盟。</w:t>
      </w:r>
      <w:bookmarkEnd w:id="1"/>
    </w:p>
    <w:p w:rsidR="00AC225F" w:rsidRPr="007F08F6" w:rsidRDefault="00AC225F" w:rsidP="00D97DF9">
      <w:pPr>
        <w:pStyle w:val="11110"/>
        <w:numPr>
          <w:ilvl w:val="3"/>
          <w:numId w:val="17"/>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2" w:name="_Toc535335334"/>
      <w:r w:rsidRPr="007F08F6">
        <w:rPr>
          <w:rFonts w:ascii="標楷體" w:hAnsi="標楷體" w:hint="eastAsia"/>
          <w:color w:val="000000" w:themeColor="text1"/>
        </w:rPr>
        <w:t>同一申請人就本案之申請以一標為限。</w:t>
      </w:r>
      <w:bookmarkEnd w:id="2"/>
    </w:p>
    <w:p w:rsidR="00AC225F" w:rsidRPr="007F08F6" w:rsidRDefault="00AC225F"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3" w:name="_Toc535335335"/>
      <w:r w:rsidRPr="007F08F6">
        <w:rPr>
          <w:rFonts w:ascii="標楷體" w:hAnsi="標楷體" w:hint="eastAsia"/>
          <w:color w:val="000000" w:themeColor="text1"/>
        </w:rPr>
        <w:t>單一公司申請人不得同時為其他參與本案之企業聯盟申請人之成員，企業聯盟申請人其成員不得同時為其他參與本案之單一公司申請人或企業聯盟申請人之成員。</w:t>
      </w:r>
      <w:bookmarkEnd w:id="3"/>
    </w:p>
    <w:p w:rsidR="00AC225F" w:rsidRPr="007F08F6" w:rsidRDefault="00AC225F"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4" w:name="_Toc535335336"/>
      <w:r w:rsidRPr="007F08F6">
        <w:rPr>
          <w:rFonts w:ascii="標楷體" w:hAnsi="標楷體" w:hint="eastAsia"/>
          <w:color w:val="000000" w:themeColor="text1"/>
        </w:rPr>
        <w:t>企業聯盟於獲選為最優申請人及次優申請人後，非經主辦機關同意，所有成員及領銜公司皆不得變更。</w:t>
      </w:r>
      <w:bookmarkEnd w:id="4"/>
    </w:p>
    <w:p w:rsidR="00AC225F" w:rsidRPr="007F08F6" w:rsidRDefault="0043224B" w:rsidP="00D97DF9">
      <w:pPr>
        <w:pStyle w:val="11110"/>
        <w:numPr>
          <w:ilvl w:val="3"/>
          <w:numId w:val="17"/>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5" w:name="_Toc535335337"/>
      <w:r w:rsidRPr="0043224B">
        <w:rPr>
          <w:rFonts w:hint="eastAsia"/>
          <w:color w:val="000000" w:themeColor="text1"/>
        </w:rPr>
        <w:t>協力廠商指非申請人，但於申請階段提出協力廠商合作意願書，表達倘申請人獲選為最優申請人或取得遞補資格之次優申請人簽訂實施契約後，願成為實際協助實施者執行本案之廠商。協力廠商不得同時為其他參與本案之單一公司申請人或企業聯盟申請人之成員，且每一協力廠商僅得作為一申請人之協力廠商。</w:t>
      </w:r>
      <w:bookmarkEnd w:id="5"/>
    </w:p>
    <w:p w:rsidR="00AC225F" w:rsidRPr="007F08F6" w:rsidRDefault="00AC225F" w:rsidP="00456CFC">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6" w:name="_Toc535335338"/>
      <w:r w:rsidRPr="007F08F6">
        <w:rPr>
          <w:rFonts w:ascii="標楷體" w:hAnsi="標楷體" w:hint="eastAsia"/>
          <w:color w:val="000000" w:themeColor="text1"/>
        </w:rPr>
        <w:t>一般資格</w:t>
      </w:r>
      <w:bookmarkEnd w:id="6"/>
    </w:p>
    <w:p w:rsidR="00456CFC" w:rsidRPr="007F08F6" w:rsidRDefault="00AC225F" w:rsidP="00456CFC">
      <w:pPr>
        <w:pStyle w:val="11110"/>
        <w:numPr>
          <w:ilvl w:val="0"/>
          <w:numId w:val="20"/>
        </w:numPr>
        <w:tabs>
          <w:tab w:val="clear" w:pos="742"/>
          <w:tab w:val="clear" w:pos="1458"/>
          <w:tab w:val="left" w:pos="1022"/>
          <w:tab w:val="left" w:pos="1134"/>
          <w:tab w:val="left" w:pos="1204"/>
        </w:tabs>
        <w:spacing w:before="0" w:after="0" w:line="360" w:lineRule="exact"/>
        <w:ind w:left="1288" w:hanging="532"/>
        <w:rPr>
          <w:rFonts w:ascii="標楷體" w:hAnsi="標楷體"/>
        </w:rPr>
      </w:pPr>
      <w:bookmarkStart w:id="7" w:name="_Toc535335339"/>
      <w:r w:rsidRPr="007F08F6">
        <w:rPr>
          <w:rFonts w:ascii="標楷體" w:hAnsi="標楷體" w:hint="eastAsia"/>
        </w:rPr>
        <w:t>單一公司申請人</w:t>
      </w:r>
      <w:bookmarkEnd w:id="7"/>
    </w:p>
    <w:p w:rsidR="00AC225F" w:rsidRDefault="00AC225F" w:rsidP="00456CFC">
      <w:pPr>
        <w:pStyle w:val="1"/>
        <w:numPr>
          <w:ilvl w:val="0"/>
          <w:numId w:val="19"/>
        </w:numPr>
        <w:tabs>
          <w:tab w:val="left" w:pos="1498"/>
        </w:tabs>
        <w:spacing w:before="0" w:after="0" w:line="360" w:lineRule="exact"/>
        <w:ind w:left="1526" w:hanging="266"/>
        <w:jc w:val="both"/>
        <w:rPr>
          <w:rFonts w:ascii="標楷體" w:hAnsi="標楷體"/>
        </w:rPr>
      </w:pPr>
      <w:r w:rsidRPr="007F08F6">
        <w:rPr>
          <w:rFonts w:ascii="標楷體" w:hAnsi="標楷體" w:hint="eastAsia"/>
        </w:rPr>
        <w:t>本國公司</w:t>
      </w:r>
      <w:r w:rsidR="00456CFC" w:rsidRPr="007F08F6">
        <w:rPr>
          <w:rFonts w:ascii="標楷體" w:hAnsi="標楷體" w:hint="eastAsia"/>
        </w:rPr>
        <w:t>：</w:t>
      </w:r>
      <w:r w:rsidRPr="007F08F6">
        <w:rPr>
          <w:rFonts w:ascii="標楷體" w:hAnsi="標楷體" w:hint="eastAsia"/>
        </w:rPr>
        <w:t>依中華民國公司法設立登記之我國股份有限公司。</w:t>
      </w:r>
    </w:p>
    <w:p w:rsidR="008E10A0" w:rsidRPr="007F08F6" w:rsidRDefault="008E10A0" w:rsidP="00456CFC">
      <w:pPr>
        <w:pStyle w:val="1"/>
        <w:numPr>
          <w:ilvl w:val="0"/>
          <w:numId w:val="19"/>
        </w:numPr>
        <w:tabs>
          <w:tab w:val="left" w:pos="1498"/>
        </w:tabs>
        <w:spacing w:before="0" w:after="0" w:line="360" w:lineRule="exact"/>
        <w:ind w:left="1526" w:hanging="266"/>
        <w:jc w:val="both"/>
        <w:rPr>
          <w:rFonts w:ascii="標楷體" w:hAnsi="標楷體"/>
        </w:rPr>
      </w:pPr>
      <w:r w:rsidRPr="008E10A0">
        <w:rPr>
          <w:rFonts w:ascii="標楷體" w:hAnsi="標楷體" w:hint="eastAsia"/>
        </w:rPr>
        <w:t>外國公司：依</w:t>
      </w:r>
      <w:r>
        <w:rPr>
          <w:rFonts w:ascii="標楷體" w:hAnsi="標楷體" w:hint="eastAsia"/>
        </w:rPr>
        <w:t>外國法律</w:t>
      </w:r>
      <w:proofErr w:type="gramStart"/>
      <w:r>
        <w:rPr>
          <w:rFonts w:ascii="標楷體" w:hAnsi="標楷體" w:hint="eastAsia"/>
        </w:rPr>
        <w:t>設立並設立並</w:t>
      </w:r>
      <w:proofErr w:type="gramEnd"/>
      <w:r>
        <w:rPr>
          <w:rFonts w:ascii="標楷體" w:hAnsi="標楷體" w:hint="eastAsia"/>
        </w:rPr>
        <w:t>存續之外國公司且在臺灣設立分公司者。惟大陸地區之營利事業或個人、及大陸地區營利事業或個人於其他國家或地區轉投資之外國公司及其在台設立之分公司，均不得參與本案之投標</w:t>
      </w:r>
      <w:r w:rsidRPr="008E10A0">
        <w:rPr>
          <w:rFonts w:ascii="標楷體" w:hAnsi="標楷體" w:hint="eastAsia"/>
        </w:rPr>
        <w:t>。</w:t>
      </w:r>
    </w:p>
    <w:p w:rsidR="00AC225F" w:rsidRPr="007F08F6" w:rsidRDefault="00AC225F" w:rsidP="00456CFC">
      <w:pPr>
        <w:pStyle w:val="11110"/>
        <w:numPr>
          <w:ilvl w:val="0"/>
          <w:numId w:val="20"/>
        </w:numPr>
        <w:tabs>
          <w:tab w:val="clear" w:pos="742"/>
          <w:tab w:val="clear" w:pos="1458"/>
          <w:tab w:val="left" w:pos="1022"/>
          <w:tab w:val="left" w:pos="1134"/>
          <w:tab w:val="left" w:pos="1204"/>
        </w:tabs>
        <w:spacing w:before="0" w:after="0" w:line="360" w:lineRule="exact"/>
        <w:ind w:left="1288" w:hanging="532"/>
        <w:rPr>
          <w:rFonts w:ascii="標楷體" w:hAnsi="標楷體"/>
        </w:rPr>
      </w:pPr>
      <w:bookmarkStart w:id="8" w:name="_Toc535335340"/>
      <w:r w:rsidRPr="007F08F6">
        <w:rPr>
          <w:rFonts w:ascii="標楷體" w:hAnsi="標楷體" w:hint="eastAsia"/>
        </w:rPr>
        <w:t>企業聯盟申請人</w:t>
      </w:r>
      <w:bookmarkEnd w:id="8"/>
    </w:p>
    <w:p w:rsidR="00AC225F" w:rsidRPr="007F08F6" w:rsidRDefault="00AC225F" w:rsidP="00456CFC">
      <w:pPr>
        <w:pStyle w:val="1"/>
        <w:numPr>
          <w:ilvl w:val="0"/>
          <w:numId w:val="21"/>
        </w:numPr>
        <w:tabs>
          <w:tab w:val="left" w:pos="1498"/>
        </w:tabs>
        <w:spacing w:before="0" w:after="0" w:line="360" w:lineRule="exact"/>
        <w:ind w:left="1526" w:hanging="266"/>
        <w:jc w:val="both"/>
        <w:rPr>
          <w:rFonts w:ascii="標楷體" w:hAnsi="標楷體"/>
        </w:rPr>
      </w:pPr>
      <w:r w:rsidRPr="007F08F6">
        <w:rPr>
          <w:rFonts w:ascii="標楷體" w:hAnsi="標楷體" w:hint="eastAsia"/>
        </w:rPr>
        <w:t>本案允許2家（含）以上、5家（含）以下之公司以企業聯盟方式參與投標，並授權其中</w:t>
      </w:r>
      <w:proofErr w:type="gramStart"/>
      <w:r w:rsidRPr="007F08F6">
        <w:rPr>
          <w:rFonts w:ascii="標楷體" w:hAnsi="標楷體" w:hint="eastAsia"/>
        </w:rPr>
        <w:t>一</w:t>
      </w:r>
      <w:proofErr w:type="gramEnd"/>
      <w:r w:rsidRPr="007F08F6">
        <w:rPr>
          <w:rFonts w:ascii="標楷體" w:hAnsi="標楷體" w:hint="eastAsia"/>
        </w:rPr>
        <w:t>成員為企業聯盟之代表（即為領銜公司）。</w:t>
      </w:r>
    </w:p>
    <w:p w:rsidR="00AC225F" w:rsidRPr="007F08F6" w:rsidRDefault="00AC225F" w:rsidP="00F86076">
      <w:pPr>
        <w:pStyle w:val="1"/>
        <w:numPr>
          <w:ilvl w:val="0"/>
          <w:numId w:val="21"/>
        </w:numPr>
        <w:tabs>
          <w:tab w:val="left" w:pos="1498"/>
        </w:tabs>
        <w:spacing w:before="0" w:after="0" w:line="360" w:lineRule="exact"/>
        <w:ind w:left="1526" w:hanging="266"/>
        <w:jc w:val="both"/>
        <w:rPr>
          <w:rFonts w:ascii="標楷體" w:hAnsi="標楷體"/>
        </w:rPr>
      </w:pPr>
      <w:r w:rsidRPr="007F08F6">
        <w:rPr>
          <w:rFonts w:ascii="標楷體" w:hAnsi="標楷體" w:hint="eastAsia"/>
        </w:rPr>
        <w:t>企業聯盟之</w:t>
      </w:r>
      <w:proofErr w:type="gramStart"/>
      <w:r w:rsidRPr="007F08F6">
        <w:rPr>
          <w:rFonts w:ascii="標楷體" w:hAnsi="標楷體" w:hint="eastAsia"/>
        </w:rPr>
        <w:t>成員均應符合</w:t>
      </w:r>
      <w:proofErr w:type="gramEnd"/>
      <w:r w:rsidR="00456CFC" w:rsidRPr="007F08F6">
        <w:rPr>
          <w:rFonts w:ascii="標楷體" w:hAnsi="標楷體" w:hint="eastAsia"/>
        </w:rPr>
        <w:t>企業聯盟申請人</w:t>
      </w:r>
      <w:r w:rsidRPr="007F08F6">
        <w:rPr>
          <w:rFonts w:ascii="標楷體" w:hAnsi="標楷體" w:hint="eastAsia"/>
        </w:rPr>
        <w:t>之資格，並提出包含以下內容之企業聯盟成員全體簽署之合作協議書：</w:t>
      </w:r>
    </w:p>
    <w:p w:rsidR="00AC225F" w:rsidRPr="007F08F6" w:rsidRDefault="00AC225F" w:rsidP="00456CFC">
      <w:pPr>
        <w:pStyle w:val="10"/>
        <w:numPr>
          <w:ilvl w:val="0"/>
          <w:numId w:val="22"/>
        </w:numPr>
        <w:spacing w:line="360" w:lineRule="exact"/>
        <w:ind w:left="1708" w:hanging="432"/>
        <w:rPr>
          <w:rFonts w:ascii="標楷體" w:hAnsi="標楷體"/>
          <w:shd w:val="pct15" w:color="auto" w:fill="FFFFFF"/>
        </w:rPr>
      </w:pPr>
      <w:r w:rsidRPr="007F08F6">
        <w:rPr>
          <w:rFonts w:ascii="標楷體" w:hAnsi="標楷體" w:hint="eastAsia"/>
        </w:rPr>
        <w:t>企業聯盟合作協議書內容應包括各成員間之分工及權利義務與將來對實施者（新設公司，且須為股份</w:t>
      </w:r>
      <w:r w:rsidRPr="005F240E">
        <w:rPr>
          <w:rFonts w:ascii="標楷體" w:hAnsi="標楷體" w:hint="eastAsia"/>
        </w:rPr>
        <w:t>有限公司）之持股比例等事項。</w:t>
      </w:r>
    </w:p>
    <w:p w:rsidR="00AC225F" w:rsidRPr="007F08F6" w:rsidRDefault="00AC225F" w:rsidP="00F86076">
      <w:pPr>
        <w:pStyle w:val="10"/>
        <w:numPr>
          <w:ilvl w:val="0"/>
          <w:numId w:val="22"/>
        </w:numPr>
        <w:spacing w:line="360" w:lineRule="exact"/>
        <w:ind w:left="1708" w:hanging="432"/>
        <w:rPr>
          <w:rFonts w:ascii="標楷體" w:hAnsi="標楷體"/>
        </w:rPr>
      </w:pPr>
      <w:r w:rsidRPr="007F08F6">
        <w:rPr>
          <w:rFonts w:ascii="標楷體" w:hAnsi="標楷體" w:hint="eastAsia"/>
        </w:rPr>
        <w:t>企業聯盟合作協議書應依中華民國公證法公證或認證。</w:t>
      </w:r>
    </w:p>
    <w:p w:rsidR="00AC225F" w:rsidRPr="007F08F6" w:rsidRDefault="00AC225F" w:rsidP="00F86076">
      <w:pPr>
        <w:pStyle w:val="10"/>
        <w:numPr>
          <w:ilvl w:val="0"/>
          <w:numId w:val="22"/>
        </w:numPr>
        <w:spacing w:line="360" w:lineRule="exact"/>
        <w:ind w:left="1708" w:hanging="432"/>
        <w:rPr>
          <w:rFonts w:ascii="標楷體" w:hAnsi="標楷體"/>
        </w:rPr>
      </w:pPr>
      <w:r w:rsidRPr="007F08F6">
        <w:rPr>
          <w:rFonts w:ascii="標楷體" w:hAnsi="標楷體" w:hint="eastAsia"/>
        </w:rPr>
        <w:lastRenderedPageBreak/>
        <w:t>申請人參與本案若受相關法令限制時，應先行依法取得准許參與投資之證明文件，始得參加申請作業。</w:t>
      </w:r>
    </w:p>
    <w:p w:rsidR="00AC225F" w:rsidRPr="007F08F6" w:rsidRDefault="00AC225F" w:rsidP="00F86076">
      <w:pPr>
        <w:pStyle w:val="1110"/>
        <w:numPr>
          <w:ilvl w:val="0"/>
          <w:numId w:val="16"/>
        </w:numPr>
        <w:tabs>
          <w:tab w:val="left" w:pos="1218"/>
        </w:tabs>
        <w:spacing w:before="0" w:after="0" w:line="360" w:lineRule="exact"/>
        <w:ind w:left="1022" w:hanging="504"/>
        <w:rPr>
          <w:rFonts w:ascii="標楷體" w:hAnsi="標楷體"/>
        </w:rPr>
      </w:pPr>
      <w:bookmarkStart w:id="9" w:name="_Toc535335341"/>
      <w:r w:rsidRPr="007F08F6">
        <w:rPr>
          <w:rFonts w:ascii="標楷體" w:hAnsi="標楷體" w:hint="eastAsia"/>
        </w:rPr>
        <w:t>財務資格</w:t>
      </w:r>
      <w:bookmarkEnd w:id="9"/>
    </w:p>
    <w:p w:rsidR="00AC225F" w:rsidRPr="004329A6" w:rsidRDefault="00AC225F"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0" w:name="_Toc535335342"/>
      <w:r w:rsidRPr="004329A6">
        <w:rPr>
          <w:rFonts w:ascii="標楷體" w:hAnsi="標楷體" w:hint="eastAsia"/>
          <w:color w:val="000000" w:themeColor="text1"/>
        </w:rPr>
        <w:t>債信能力：最近3年無退票紀錄或重大喪失債信之情事，單一公司申請人及企業聯盟申請人之所有</w:t>
      </w:r>
      <w:proofErr w:type="gramStart"/>
      <w:r w:rsidRPr="004329A6">
        <w:rPr>
          <w:rFonts w:ascii="標楷體" w:hAnsi="標楷體" w:hint="eastAsia"/>
          <w:color w:val="000000" w:themeColor="text1"/>
        </w:rPr>
        <w:t>成員均須符合</w:t>
      </w:r>
      <w:proofErr w:type="gramEnd"/>
      <w:r w:rsidRPr="004329A6">
        <w:rPr>
          <w:rFonts w:ascii="標楷體" w:hAnsi="標楷體" w:hint="eastAsia"/>
          <w:color w:val="000000" w:themeColor="text1"/>
        </w:rPr>
        <w:t>。</w:t>
      </w:r>
      <w:bookmarkEnd w:id="10"/>
    </w:p>
    <w:p w:rsidR="00AC225F" w:rsidRPr="004329A6" w:rsidRDefault="00AC225F"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1" w:name="_Toc535335343"/>
      <w:r w:rsidRPr="004329A6">
        <w:rPr>
          <w:rFonts w:ascii="標楷體" w:hAnsi="標楷體" w:hint="eastAsia"/>
          <w:color w:val="000000" w:themeColor="text1"/>
        </w:rPr>
        <w:t>實收資本額：單一公司申請人之實收資本額應為新臺幣</w:t>
      </w:r>
      <w:r w:rsidR="00EB4D16">
        <w:rPr>
          <w:rFonts w:ascii="標楷體" w:hAnsi="標楷體" w:hint="eastAsia"/>
          <w:color w:val="000000" w:themeColor="text1"/>
        </w:rPr>
        <w:t>20</w:t>
      </w:r>
      <w:r w:rsidR="004329A6" w:rsidRPr="004329A6">
        <w:rPr>
          <w:rFonts w:ascii="標楷體" w:hAnsi="標楷體" w:hint="eastAsia"/>
          <w:color w:val="000000" w:themeColor="text1"/>
        </w:rPr>
        <w:t>億元（含）以上；企業聯盟各成員</w:t>
      </w:r>
      <w:r w:rsidRPr="004329A6">
        <w:rPr>
          <w:rFonts w:ascii="標楷體" w:hAnsi="標楷體" w:hint="eastAsia"/>
          <w:color w:val="000000" w:themeColor="text1"/>
        </w:rPr>
        <w:t>實收資本額合計須在新臺幣</w:t>
      </w:r>
      <w:r w:rsidR="00EB4D16">
        <w:rPr>
          <w:rFonts w:ascii="標楷體" w:hAnsi="標楷體" w:hint="eastAsia"/>
          <w:color w:val="000000" w:themeColor="text1"/>
        </w:rPr>
        <w:t>20</w:t>
      </w:r>
      <w:r w:rsidRPr="004329A6">
        <w:rPr>
          <w:rFonts w:ascii="標楷體" w:hAnsi="標楷體" w:hint="eastAsia"/>
          <w:color w:val="000000" w:themeColor="text1"/>
        </w:rPr>
        <w:t>億元（含）以上，且其領銜公司之實收資本額應為新臺幣</w:t>
      </w:r>
      <w:r w:rsidR="00EB4D16">
        <w:rPr>
          <w:rFonts w:ascii="標楷體" w:hAnsi="標楷體" w:hint="eastAsia"/>
          <w:color w:val="000000" w:themeColor="text1"/>
        </w:rPr>
        <w:t>10</w:t>
      </w:r>
      <w:r w:rsidRPr="004329A6">
        <w:rPr>
          <w:rFonts w:ascii="標楷體" w:hAnsi="標楷體" w:hint="eastAsia"/>
          <w:color w:val="000000" w:themeColor="text1"/>
        </w:rPr>
        <w:t>億元（含）以上。</w:t>
      </w:r>
      <w:bookmarkEnd w:id="11"/>
    </w:p>
    <w:p w:rsidR="00AC225F" w:rsidRPr="004329A6" w:rsidRDefault="004329A6" w:rsidP="00F8607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2" w:name="_Toc535335344"/>
      <w:r w:rsidRPr="004329A6">
        <w:rPr>
          <w:rFonts w:ascii="標楷體" w:hAnsi="標楷體" w:hint="eastAsia"/>
          <w:color w:val="000000" w:themeColor="text1"/>
        </w:rPr>
        <w:t>單一公司申請人或合作聯盟申請人之各組成員之淨值（權益總額）皆不低於實收資本額總額。</w:t>
      </w:r>
      <w:bookmarkEnd w:id="12"/>
    </w:p>
    <w:p w:rsidR="004329A6" w:rsidRDefault="004329A6" w:rsidP="004329A6">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hint="eastAsia"/>
          <w:color w:val="000000" w:themeColor="text1"/>
        </w:rPr>
      </w:pPr>
      <w:r w:rsidRPr="004329A6">
        <w:rPr>
          <w:rFonts w:ascii="標楷體" w:hAnsi="標楷體" w:hint="eastAsia"/>
          <w:color w:val="000000" w:themeColor="text1"/>
        </w:rPr>
        <w:t>單一公司申請人或合作聯盟申請人之各組成員之總負債金額皆不超過淨值(權益總額)4倍。</w:t>
      </w:r>
    </w:p>
    <w:p w:rsidR="00A81BD0" w:rsidRPr="00A81BD0" w:rsidRDefault="00A81BD0" w:rsidP="00A81BD0">
      <w:pPr>
        <w:pStyle w:val="11110"/>
        <w:numPr>
          <w:ilvl w:val="0"/>
          <w:numId w:val="23"/>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r w:rsidRPr="00973BC8">
        <w:rPr>
          <w:rFonts w:ascii="標楷體" w:hAnsi="標楷體" w:hint="eastAsia"/>
          <w:color w:val="000000" w:themeColor="text1"/>
        </w:rPr>
        <w:t>申請人如為保險業，自有資本與風險資本之比率計算之資本適足性應符合保</w:t>
      </w:r>
      <w:r>
        <w:rPr>
          <w:rFonts w:ascii="標楷體" w:hAnsi="標楷體" w:hint="eastAsia"/>
          <w:color w:val="000000" w:themeColor="text1"/>
        </w:rPr>
        <w:t>險法及其相關規定，不受上述規定</w:t>
      </w:r>
      <w:r w:rsidRPr="00973BC8">
        <w:rPr>
          <w:rFonts w:ascii="標楷體" w:hAnsi="標楷體" w:hint="eastAsia"/>
          <w:color w:val="000000" w:themeColor="text1"/>
        </w:rPr>
        <w:t>限制。其所提送之證明文件依「保險業資本適足性辦法」第</w:t>
      </w:r>
      <w:r w:rsidRPr="00973BC8">
        <w:rPr>
          <w:rFonts w:ascii="標楷體" w:hAnsi="標楷體"/>
          <w:color w:val="000000" w:themeColor="text1"/>
        </w:rPr>
        <w:t xml:space="preserve">5 </w:t>
      </w:r>
      <w:r w:rsidRPr="00973BC8">
        <w:rPr>
          <w:rFonts w:ascii="標楷體" w:hAnsi="標楷體" w:hint="eastAsia"/>
          <w:color w:val="000000" w:themeColor="text1"/>
        </w:rPr>
        <w:t>條規定應向主管機關申報合格會計師查核之資本適足率相關資料，包括但不限於資本適足率分析表、會計師內部控制制度查核表等。</w:t>
      </w:r>
      <w:bookmarkStart w:id="13" w:name="_GoBack"/>
      <w:bookmarkEnd w:id="13"/>
    </w:p>
    <w:p w:rsidR="00AC225F" w:rsidRPr="004329A6" w:rsidRDefault="00AC225F" w:rsidP="00F86076">
      <w:pPr>
        <w:pStyle w:val="1110"/>
        <w:numPr>
          <w:ilvl w:val="0"/>
          <w:numId w:val="16"/>
        </w:numPr>
        <w:tabs>
          <w:tab w:val="left" w:pos="1218"/>
        </w:tabs>
        <w:spacing w:before="0" w:after="0" w:line="360" w:lineRule="exact"/>
        <w:ind w:left="1022" w:hanging="504"/>
        <w:rPr>
          <w:rFonts w:ascii="標楷體" w:hAnsi="標楷體"/>
          <w:color w:val="000000" w:themeColor="text1"/>
        </w:rPr>
      </w:pPr>
      <w:bookmarkStart w:id="14" w:name="_Toc535335345"/>
      <w:r w:rsidRPr="004329A6">
        <w:rPr>
          <w:rFonts w:ascii="標楷體" w:hAnsi="標楷體" w:hint="eastAsia"/>
          <w:color w:val="000000" w:themeColor="text1"/>
        </w:rPr>
        <w:t>開發能力資格</w:t>
      </w:r>
      <w:bookmarkEnd w:id="14"/>
    </w:p>
    <w:p w:rsidR="00AC225F" w:rsidRPr="004329A6" w:rsidRDefault="00AC225F" w:rsidP="00F86076">
      <w:pPr>
        <w:pStyle w:val="11110"/>
        <w:numPr>
          <w:ilvl w:val="0"/>
          <w:numId w:val="24"/>
        </w:numPr>
        <w:tabs>
          <w:tab w:val="clear" w:pos="742"/>
          <w:tab w:val="clear" w:pos="1458"/>
          <w:tab w:val="left" w:pos="1022"/>
          <w:tab w:val="left" w:pos="1134"/>
          <w:tab w:val="left" w:pos="1204"/>
        </w:tabs>
        <w:spacing w:before="0" w:after="0" w:line="360" w:lineRule="exact"/>
        <w:ind w:left="1288" w:hanging="532"/>
        <w:rPr>
          <w:rFonts w:ascii="標楷體" w:hAnsi="標楷體"/>
          <w:color w:val="000000" w:themeColor="text1"/>
        </w:rPr>
      </w:pPr>
      <w:bookmarkStart w:id="15" w:name="_Toc535335346"/>
      <w:r w:rsidRPr="004329A6">
        <w:rPr>
          <w:rFonts w:ascii="標楷體" w:hAnsi="標楷體" w:hint="eastAsia"/>
          <w:color w:val="000000" w:themeColor="text1"/>
        </w:rPr>
        <w:t>單一公司申請人或企業聯盟申請人之其中</w:t>
      </w:r>
      <w:proofErr w:type="gramStart"/>
      <w:r w:rsidRPr="004329A6">
        <w:rPr>
          <w:rFonts w:ascii="標楷體" w:hAnsi="標楷體" w:hint="eastAsia"/>
          <w:color w:val="000000" w:themeColor="text1"/>
        </w:rPr>
        <w:t>一</w:t>
      </w:r>
      <w:proofErr w:type="gramEnd"/>
      <w:r w:rsidRPr="004329A6">
        <w:rPr>
          <w:rFonts w:ascii="標楷體" w:hAnsi="標楷體" w:hint="eastAsia"/>
          <w:color w:val="000000" w:themeColor="text1"/>
        </w:rPr>
        <w:t>成員，或申請人之協力廠商中，至少1家應具備以下條件：</w:t>
      </w:r>
      <w:bookmarkEnd w:id="15"/>
    </w:p>
    <w:p w:rsidR="00AC225F" w:rsidRPr="004329A6" w:rsidRDefault="00AC225F" w:rsidP="00F86076">
      <w:pPr>
        <w:pStyle w:val="1"/>
        <w:numPr>
          <w:ilvl w:val="0"/>
          <w:numId w:val="25"/>
        </w:numPr>
        <w:tabs>
          <w:tab w:val="left" w:pos="1498"/>
        </w:tabs>
        <w:spacing w:before="0" w:after="0" w:line="360" w:lineRule="exact"/>
        <w:ind w:left="1526" w:hanging="266"/>
        <w:jc w:val="both"/>
        <w:rPr>
          <w:rFonts w:ascii="標楷體" w:hAnsi="標楷體"/>
          <w:color w:val="000000" w:themeColor="text1"/>
        </w:rPr>
      </w:pPr>
      <w:r w:rsidRPr="004329A6">
        <w:rPr>
          <w:rFonts w:ascii="標楷體" w:hAnsi="標楷體" w:hint="eastAsia"/>
          <w:color w:val="000000" w:themeColor="text1"/>
        </w:rPr>
        <w:t>興建或營運</w:t>
      </w:r>
      <w:r w:rsidR="0062737F" w:rsidRPr="004329A6">
        <w:rPr>
          <w:rFonts w:ascii="標楷體" w:hAnsi="標楷體" w:hint="eastAsia"/>
          <w:color w:val="000000" w:themeColor="text1"/>
        </w:rPr>
        <w:t>住宅、商業使用(包含但不限於</w:t>
      </w:r>
      <w:r w:rsidRPr="004329A6">
        <w:rPr>
          <w:rFonts w:ascii="標楷體" w:hAnsi="標楷體" w:hint="eastAsia"/>
          <w:color w:val="000000" w:themeColor="text1"/>
        </w:rPr>
        <w:t>辦公大樓、旅館、百貨商場、餐飲設施</w:t>
      </w:r>
      <w:r w:rsidR="0062737F" w:rsidRPr="004329A6">
        <w:rPr>
          <w:rFonts w:ascii="標楷體" w:hAnsi="標楷體" w:hint="eastAsia"/>
          <w:color w:val="000000" w:themeColor="text1"/>
        </w:rPr>
        <w:t>)</w:t>
      </w:r>
      <w:r w:rsidRPr="004329A6">
        <w:rPr>
          <w:rFonts w:ascii="標楷體" w:hAnsi="標楷體" w:hint="eastAsia"/>
          <w:color w:val="000000" w:themeColor="text1"/>
        </w:rPr>
        <w:t>或符合本基地土地使用管制允許土地使用項目之其他相關設施中至少一項之實際能力與經驗。</w:t>
      </w:r>
    </w:p>
    <w:p w:rsidR="00AC225F" w:rsidRPr="004329A6" w:rsidRDefault="00AC225F" w:rsidP="00F86076">
      <w:pPr>
        <w:pStyle w:val="1"/>
        <w:numPr>
          <w:ilvl w:val="0"/>
          <w:numId w:val="25"/>
        </w:numPr>
        <w:tabs>
          <w:tab w:val="left" w:pos="1498"/>
        </w:tabs>
        <w:spacing w:before="0" w:after="0" w:line="360" w:lineRule="exact"/>
        <w:ind w:left="1526" w:hanging="266"/>
        <w:jc w:val="both"/>
        <w:rPr>
          <w:rFonts w:ascii="標楷體" w:hAnsi="標楷體"/>
          <w:color w:val="000000" w:themeColor="text1"/>
        </w:rPr>
      </w:pPr>
      <w:r w:rsidRPr="004329A6">
        <w:rPr>
          <w:rFonts w:ascii="標楷體" w:hAnsi="標楷體" w:hint="eastAsia"/>
          <w:color w:val="000000" w:themeColor="text1"/>
        </w:rPr>
        <w:t>前開實際能力與經驗之認定：</w:t>
      </w:r>
    </w:p>
    <w:p w:rsidR="00AC225F" w:rsidRPr="004329A6" w:rsidRDefault="00AC225F" w:rsidP="00F86076">
      <w:pPr>
        <w:pStyle w:val="10"/>
        <w:numPr>
          <w:ilvl w:val="0"/>
          <w:numId w:val="26"/>
        </w:numPr>
        <w:spacing w:line="360" w:lineRule="exact"/>
        <w:ind w:left="1708" w:hanging="432"/>
        <w:rPr>
          <w:rFonts w:ascii="標楷體" w:hAnsi="標楷體"/>
          <w:color w:val="000000" w:themeColor="text1"/>
        </w:rPr>
      </w:pPr>
      <w:r w:rsidRPr="004329A6">
        <w:rPr>
          <w:rFonts w:ascii="標楷體" w:hAnsi="標楷體" w:hint="eastAsia"/>
          <w:color w:val="000000" w:themeColor="text1"/>
        </w:rPr>
        <w:t>該廠商（指單一公司申請人、或企業聯盟申請人之其中</w:t>
      </w:r>
      <w:proofErr w:type="gramStart"/>
      <w:r w:rsidRPr="004329A6">
        <w:rPr>
          <w:rFonts w:ascii="標楷體" w:hAnsi="標楷體" w:hint="eastAsia"/>
          <w:color w:val="000000" w:themeColor="text1"/>
        </w:rPr>
        <w:t>一</w:t>
      </w:r>
      <w:proofErr w:type="gramEnd"/>
      <w:r w:rsidRPr="004329A6">
        <w:rPr>
          <w:rFonts w:ascii="標楷體" w:hAnsi="標楷體" w:hint="eastAsia"/>
          <w:color w:val="000000" w:themeColor="text1"/>
        </w:rPr>
        <w:t>成員、或協力廠商）於申請期限截止前10年內，</w:t>
      </w:r>
      <w:r w:rsidR="0062737F" w:rsidRPr="004329A6">
        <w:rPr>
          <w:rFonts w:ascii="標楷體" w:hAnsi="標楷體" w:hint="eastAsia"/>
          <w:color w:val="000000" w:themeColor="text1"/>
        </w:rPr>
        <w:t>單一個案實績之建築樓地板面積不得低於</w:t>
      </w:r>
      <w:r w:rsidR="00A36426">
        <w:rPr>
          <w:rFonts w:ascii="標楷體" w:hAnsi="標楷體" w:hint="eastAsia"/>
          <w:color w:val="000000" w:themeColor="text1"/>
        </w:rPr>
        <w:t>65</w:t>
      </w:r>
      <w:r w:rsidR="0062737F" w:rsidRPr="004329A6">
        <w:rPr>
          <w:rFonts w:ascii="標楷體" w:hAnsi="標楷體" w:hint="eastAsia"/>
          <w:color w:val="000000" w:themeColor="text1"/>
        </w:rPr>
        <w:t>,000平方公尺且累計建築樓地板面積不得低於1</w:t>
      </w:r>
      <w:r w:rsidR="00A36426">
        <w:rPr>
          <w:rFonts w:ascii="標楷體" w:hAnsi="標楷體" w:hint="eastAsia"/>
          <w:color w:val="000000" w:themeColor="text1"/>
        </w:rPr>
        <w:t>65</w:t>
      </w:r>
      <w:r w:rsidR="0062737F" w:rsidRPr="004329A6">
        <w:rPr>
          <w:rFonts w:ascii="標楷體" w:hAnsi="標楷體" w:hint="eastAsia"/>
          <w:color w:val="000000" w:themeColor="text1"/>
        </w:rPr>
        <w:t>,000平方公尺，惟如申請人為合作聯盟者，累計建築樓地板面積得以</w:t>
      </w:r>
      <w:r w:rsidR="00B70CD4">
        <w:rPr>
          <w:rFonts w:ascii="標楷體" w:hAnsi="標楷體" w:hint="eastAsia"/>
          <w:color w:val="000000" w:themeColor="text1"/>
        </w:rPr>
        <w:t>各</w:t>
      </w:r>
      <w:r w:rsidR="0062737F" w:rsidRPr="004329A6">
        <w:rPr>
          <w:rFonts w:ascii="標楷體" w:hAnsi="標楷體" w:hint="eastAsia"/>
          <w:color w:val="000000" w:themeColor="text1"/>
        </w:rPr>
        <w:t>成員之實績</w:t>
      </w:r>
      <w:r w:rsidR="00B70CD4">
        <w:rPr>
          <w:rFonts w:ascii="標楷體" w:hAnsi="標楷體" w:hint="eastAsia"/>
          <w:color w:val="000000" w:themeColor="text1"/>
        </w:rPr>
        <w:t>合併</w:t>
      </w:r>
      <w:r w:rsidR="0062737F" w:rsidRPr="004329A6">
        <w:rPr>
          <w:rFonts w:ascii="標楷體" w:hAnsi="標楷體" w:hint="eastAsia"/>
          <w:color w:val="000000" w:themeColor="text1"/>
        </w:rPr>
        <w:t>計算</w:t>
      </w:r>
      <w:r w:rsidRPr="004329A6">
        <w:rPr>
          <w:rFonts w:ascii="標楷體" w:hAnsi="標楷體" w:hint="eastAsia"/>
          <w:color w:val="000000" w:themeColor="text1"/>
        </w:rPr>
        <w:t>。如該廠商同時興建及營運同一標的，則該標的之樓地板面積只</w:t>
      </w:r>
      <w:proofErr w:type="gramStart"/>
      <w:r w:rsidRPr="004329A6">
        <w:rPr>
          <w:rFonts w:ascii="標楷體" w:hAnsi="標楷體" w:hint="eastAsia"/>
          <w:color w:val="000000" w:themeColor="text1"/>
        </w:rPr>
        <w:t>採</w:t>
      </w:r>
      <w:proofErr w:type="gramEnd"/>
      <w:r w:rsidRPr="004329A6">
        <w:rPr>
          <w:rFonts w:ascii="標楷體" w:hAnsi="標楷體" w:hint="eastAsia"/>
          <w:color w:val="000000" w:themeColor="text1"/>
        </w:rPr>
        <w:t>計一次，不因興建及營運而重複計算。</w:t>
      </w:r>
    </w:p>
    <w:p w:rsidR="00AC225F" w:rsidRPr="004329A6" w:rsidRDefault="00AC225F" w:rsidP="00F86076">
      <w:pPr>
        <w:pStyle w:val="10"/>
        <w:numPr>
          <w:ilvl w:val="0"/>
          <w:numId w:val="26"/>
        </w:numPr>
        <w:spacing w:line="360" w:lineRule="exact"/>
        <w:ind w:left="1708" w:hanging="432"/>
        <w:rPr>
          <w:rFonts w:ascii="標楷體" w:hAnsi="標楷體"/>
          <w:color w:val="000000" w:themeColor="text1"/>
        </w:rPr>
      </w:pPr>
      <w:r w:rsidRPr="004329A6">
        <w:rPr>
          <w:rFonts w:ascii="標楷體" w:hAnsi="標楷體" w:hint="eastAsia"/>
          <w:color w:val="000000" w:themeColor="text1"/>
        </w:rPr>
        <w:t>前述實際能力與經驗之認定營運方式，包括但不限於出租建築物、自行經營、委託經營等方式。</w:t>
      </w:r>
    </w:p>
    <w:p w:rsidR="0062737F" w:rsidRPr="004329A6" w:rsidRDefault="00AC225F" w:rsidP="00D97DF9">
      <w:pPr>
        <w:pStyle w:val="10"/>
        <w:numPr>
          <w:ilvl w:val="0"/>
          <w:numId w:val="24"/>
        </w:numPr>
        <w:tabs>
          <w:tab w:val="left" w:pos="1022"/>
          <w:tab w:val="left" w:pos="1134"/>
          <w:tab w:val="left" w:pos="1204"/>
        </w:tabs>
        <w:spacing w:before="0" w:after="0" w:line="360" w:lineRule="exact"/>
        <w:ind w:left="1288" w:hanging="532"/>
        <w:rPr>
          <w:rFonts w:ascii="標楷體" w:hAnsi="標楷體"/>
          <w:color w:val="000000" w:themeColor="text1"/>
        </w:rPr>
      </w:pPr>
      <w:r w:rsidRPr="004329A6">
        <w:rPr>
          <w:rFonts w:ascii="標楷體" w:hAnsi="標楷體" w:hint="eastAsia"/>
          <w:color w:val="000000" w:themeColor="text1"/>
        </w:rPr>
        <w:t>前述實績證明文件中，如同一案有多數公司</w:t>
      </w:r>
      <w:proofErr w:type="gramStart"/>
      <w:r w:rsidRPr="004329A6">
        <w:rPr>
          <w:rFonts w:ascii="標楷體" w:hAnsi="標楷體" w:hint="eastAsia"/>
          <w:color w:val="000000" w:themeColor="text1"/>
        </w:rPr>
        <w:t>列名時</w:t>
      </w:r>
      <w:proofErr w:type="gramEnd"/>
      <w:r w:rsidRPr="004329A6">
        <w:rPr>
          <w:rFonts w:ascii="標楷體" w:hAnsi="標楷體" w:hint="eastAsia"/>
          <w:color w:val="000000" w:themeColor="text1"/>
        </w:rPr>
        <w:t>，申請人應同時提出可供認定申請人本身於該案件中所</w:t>
      </w:r>
      <w:proofErr w:type="gramStart"/>
      <w:r w:rsidRPr="004329A6">
        <w:rPr>
          <w:rFonts w:ascii="標楷體" w:hAnsi="標楷體" w:hint="eastAsia"/>
          <w:color w:val="000000" w:themeColor="text1"/>
        </w:rPr>
        <w:t>佔</w:t>
      </w:r>
      <w:proofErr w:type="gramEnd"/>
      <w:r w:rsidRPr="004329A6">
        <w:rPr>
          <w:rFonts w:ascii="標楷體" w:hAnsi="標楷體" w:hint="eastAsia"/>
          <w:color w:val="000000" w:themeColor="text1"/>
        </w:rPr>
        <w:t>實績比例之佐證資料。如依申請人已提供之資料無法確認申請實績內容者，該實績將以使用執照所載實績除以全體</w:t>
      </w:r>
      <w:proofErr w:type="gramStart"/>
      <w:r w:rsidRPr="004329A6">
        <w:rPr>
          <w:rFonts w:ascii="標楷體" w:hAnsi="標楷體" w:hint="eastAsia"/>
          <w:color w:val="000000" w:themeColor="text1"/>
        </w:rPr>
        <w:t>公司數後所得</w:t>
      </w:r>
      <w:proofErr w:type="gramEnd"/>
      <w:r w:rsidRPr="004329A6">
        <w:rPr>
          <w:rFonts w:ascii="標楷體" w:hAnsi="標楷體" w:hint="eastAsia"/>
          <w:color w:val="000000" w:themeColor="text1"/>
        </w:rPr>
        <w:t>之平均值作為申請人之實績。</w:t>
      </w:r>
      <w:bookmarkStart w:id="16" w:name="_Toc535335347"/>
    </w:p>
    <w:p w:rsidR="00AC225F" w:rsidRPr="0062737F" w:rsidRDefault="004551B6" w:rsidP="00D97DF9">
      <w:pPr>
        <w:pStyle w:val="10"/>
        <w:numPr>
          <w:ilvl w:val="0"/>
          <w:numId w:val="24"/>
        </w:numPr>
        <w:tabs>
          <w:tab w:val="left" w:pos="1022"/>
          <w:tab w:val="left" w:pos="1134"/>
          <w:tab w:val="left" w:pos="1204"/>
        </w:tabs>
        <w:spacing w:before="0" w:after="0" w:line="360" w:lineRule="exact"/>
        <w:ind w:left="1288" w:hanging="532"/>
        <w:rPr>
          <w:rFonts w:ascii="標楷體" w:hAnsi="標楷體"/>
        </w:rPr>
      </w:pPr>
      <w:r w:rsidRPr="0062737F">
        <w:rPr>
          <w:rFonts w:ascii="標楷體" w:hAnsi="標楷體" w:hint="eastAsia"/>
        </w:rPr>
        <w:t>符合前述(一)</w:t>
      </w:r>
      <w:r w:rsidR="00AC225F" w:rsidRPr="0062737F">
        <w:rPr>
          <w:rFonts w:ascii="標楷體" w:hAnsi="標楷體" w:hint="eastAsia"/>
        </w:rPr>
        <w:t>所載資格者如為協力廠商，並應檢附協力廠商合作意願書，協力廠商合作意願書應依中華民國公證法公證或認證。申請人於得標後如欲更</w:t>
      </w:r>
      <w:r w:rsidR="00AC225F" w:rsidRPr="0062737F">
        <w:rPr>
          <w:rFonts w:ascii="標楷體" w:hAnsi="標楷體" w:hint="eastAsia"/>
        </w:rPr>
        <w:lastRenderedPageBreak/>
        <w:t>換該協力廠商時，更換後之協力廠商之技術能力應不低於原協力廠商，並經主辦機關書面同意後始得為之。</w:t>
      </w:r>
      <w:bookmarkEnd w:id="16"/>
    </w:p>
    <w:sectPr w:rsidR="00AC225F" w:rsidRPr="0062737F" w:rsidSect="0031136A">
      <w:footerReference w:type="default" r:id="rId9"/>
      <w:pgSz w:w="11906" w:h="16838"/>
      <w:pgMar w:top="1440" w:right="155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46" w:rsidRDefault="00FE2E46" w:rsidP="00422962">
      <w:pPr>
        <w:spacing w:line="240" w:lineRule="auto"/>
      </w:pPr>
      <w:r>
        <w:separator/>
      </w:r>
    </w:p>
  </w:endnote>
  <w:endnote w:type="continuationSeparator" w:id="0">
    <w:p w:rsidR="00FE2E46" w:rsidRDefault="00FE2E46" w:rsidP="0042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7163"/>
      <w:docPartObj>
        <w:docPartGallery w:val="Page Numbers (Bottom of Page)"/>
        <w:docPartUnique/>
      </w:docPartObj>
    </w:sdtPr>
    <w:sdtEndPr/>
    <w:sdtContent>
      <w:p w:rsidR="004F5D7A" w:rsidRDefault="00485A17">
        <w:pPr>
          <w:pStyle w:val="a8"/>
          <w:jc w:val="center"/>
        </w:pPr>
        <w:r>
          <w:fldChar w:fldCharType="begin"/>
        </w:r>
        <w:r w:rsidR="004F5D7A">
          <w:instrText>PAGE   \* MERGEFORMAT</w:instrText>
        </w:r>
        <w:r>
          <w:fldChar w:fldCharType="separate"/>
        </w:r>
        <w:r w:rsidR="00A81BD0" w:rsidRPr="00A81BD0">
          <w:rPr>
            <w:noProof/>
            <w:lang w:val="zh-TW"/>
          </w:rPr>
          <w:t>3</w:t>
        </w:r>
        <w:r>
          <w:fldChar w:fldCharType="end"/>
        </w:r>
      </w:p>
    </w:sdtContent>
  </w:sdt>
  <w:p w:rsidR="004F5D7A" w:rsidRDefault="004F5D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46" w:rsidRDefault="00FE2E46" w:rsidP="00422962">
      <w:pPr>
        <w:spacing w:line="240" w:lineRule="auto"/>
      </w:pPr>
      <w:r>
        <w:separator/>
      </w:r>
    </w:p>
  </w:footnote>
  <w:footnote w:type="continuationSeparator" w:id="0">
    <w:p w:rsidR="00FE2E46" w:rsidRDefault="00FE2E46" w:rsidP="00422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E38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777CDC"/>
    <w:multiLevelType w:val="hybridMultilevel"/>
    <w:tmpl w:val="C3029FFC"/>
    <w:lvl w:ilvl="0" w:tplc="04090015">
      <w:start w:val="1"/>
      <w:numFmt w:val="taiwaneseCountingThousand"/>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
    <w:nsid w:val="04306774"/>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nsid w:val="06714949"/>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2697F5D"/>
    <w:multiLevelType w:val="hybridMultilevel"/>
    <w:tmpl w:val="F69C7126"/>
    <w:lvl w:ilvl="0" w:tplc="2FE0F296">
      <w:start w:val="1"/>
      <w:numFmt w:val="taiwaneseCountingThousand"/>
      <w:lvlText w:val="%1、"/>
      <w:lvlJc w:val="left"/>
      <w:pPr>
        <w:ind w:left="722" w:hanging="72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5">
    <w:nsid w:val="1C5F0CB8"/>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6">
    <w:nsid w:val="1EF96EF1"/>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nsid w:val="1FDF7243"/>
    <w:multiLevelType w:val="hybridMultilevel"/>
    <w:tmpl w:val="E3F49432"/>
    <w:lvl w:ilvl="0" w:tplc="D00027F0">
      <w:start w:val="1"/>
      <w:numFmt w:val="decimal"/>
      <w:lvlText w:val="(%1)"/>
      <w:lvlJc w:val="left"/>
      <w:pPr>
        <w:ind w:left="1352" w:hanging="36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8">
    <w:nsid w:val="254C01E5"/>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nsid w:val="2FF225E1"/>
    <w:multiLevelType w:val="hybridMultilevel"/>
    <w:tmpl w:val="BE3A5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05840"/>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nsid w:val="35151D86"/>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62A1B03"/>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3">
    <w:nsid w:val="366C1697"/>
    <w:multiLevelType w:val="hybridMultilevel"/>
    <w:tmpl w:val="BE3A5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77FA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5">
    <w:nsid w:val="47F55702"/>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nsid w:val="48C31BD6"/>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17">
    <w:nsid w:val="50FB77C6"/>
    <w:multiLevelType w:val="hybridMultilevel"/>
    <w:tmpl w:val="57BA06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135969"/>
    <w:multiLevelType w:val="hybridMultilevel"/>
    <w:tmpl w:val="54C6C0D0"/>
    <w:lvl w:ilvl="0" w:tplc="8B1634EE">
      <w:start w:val="1"/>
      <w:numFmt w:val="decimal"/>
      <w:lvlText w:val="%1."/>
      <w:lvlJc w:val="left"/>
      <w:pPr>
        <w:ind w:left="1740" w:hanging="480"/>
      </w:pPr>
      <w:rPr>
        <w:rFonts w:ascii="標楷體" w:eastAsia="標楷體" w:hAnsi="標楷體"/>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nsid w:val="689A186C"/>
    <w:multiLevelType w:val="hybridMultilevel"/>
    <w:tmpl w:val="E3F49432"/>
    <w:lvl w:ilvl="0" w:tplc="D00027F0">
      <w:start w:val="1"/>
      <w:numFmt w:val="decimal"/>
      <w:lvlText w:val="(%1)"/>
      <w:lvlJc w:val="left"/>
      <w:pPr>
        <w:ind w:left="1352" w:hanging="36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nsid w:val="743C7BFB"/>
    <w:multiLevelType w:val="hybridMultilevel"/>
    <w:tmpl w:val="3528C174"/>
    <w:lvl w:ilvl="0" w:tplc="6C14ABEC">
      <w:start w:val="1"/>
      <w:numFmt w:val="taiwaneseCountingThousand"/>
      <w:lvlText w:val="(%1)"/>
      <w:lvlJc w:val="left"/>
      <w:pPr>
        <w:ind w:left="934" w:hanging="480"/>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6C14ABEC">
      <w:start w:val="1"/>
      <w:numFmt w:val="taiwaneseCountingThousand"/>
      <w:lvlText w:val="(%4)"/>
      <w:lvlJc w:val="left"/>
      <w:pPr>
        <w:ind w:left="2374" w:hanging="480"/>
      </w:pPr>
      <w:rPr>
        <w:rFonts w:ascii="標楷體" w:eastAsia="標楷體" w:hAnsi="標楷體" w:hint="default"/>
      </w:r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1">
    <w:nsid w:val="774D0494"/>
    <w:multiLevelType w:val="hybridMultilevel"/>
    <w:tmpl w:val="8D325B48"/>
    <w:lvl w:ilvl="0" w:tplc="6C14ABEC">
      <w:start w:val="1"/>
      <w:numFmt w:val="taiwaneseCountingThousand"/>
      <w:lvlText w:val="(%1)"/>
      <w:lvlJc w:val="left"/>
      <w:pPr>
        <w:ind w:left="2374" w:hanging="480"/>
      </w:pPr>
      <w:rPr>
        <w:rFonts w:ascii="標楷體" w:eastAsia="標楷體" w:hAnsi="標楷體" w:hint="default"/>
      </w:rPr>
    </w:lvl>
    <w:lvl w:ilvl="1" w:tplc="04090019" w:tentative="1">
      <w:start w:val="1"/>
      <w:numFmt w:val="ideographTraditional"/>
      <w:lvlText w:val="%2、"/>
      <w:lvlJc w:val="left"/>
      <w:pPr>
        <w:ind w:left="2854" w:hanging="480"/>
      </w:pPr>
    </w:lvl>
    <w:lvl w:ilvl="2" w:tplc="0409001B" w:tentative="1">
      <w:start w:val="1"/>
      <w:numFmt w:val="lowerRoman"/>
      <w:lvlText w:val="%3."/>
      <w:lvlJc w:val="right"/>
      <w:pPr>
        <w:ind w:left="3334" w:hanging="480"/>
      </w:pPr>
    </w:lvl>
    <w:lvl w:ilvl="3" w:tplc="0409000F" w:tentative="1">
      <w:start w:val="1"/>
      <w:numFmt w:val="decimal"/>
      <w:lvlText w:val="%4."/>
      <w:lvlJc w:val="left"/>
      <w:pPr>
        <w:ind w:left="3814" w:hanging="480"/>
      </w:pPr>
    </w:lvl>
    <w:lvl w:ilvl="4" w:tplc="04090019" w:tentative="1">
      <w:start w:val="1"/>
      <w:numFmt w:val="ideographTraditional"/>
      <w:lvlText w:val="%5、"/>
      <w:lvlJc w:val="left"/>
      <w:pPr>
        <w:ind w:left="4294" w:hanging="480"/>
      </w:pPr>
    </w:lvl>
    <w:lvl w:ilvl="5" w:tplc="0409001B" w:tentative="1">
      <w:start w:val="1"/>
      <w:numFmt w:val="lowerRoman"/>
      <w:lvlText w:val="%6."/>
      <w:lvlJc w:val="right"/>
      <w:pPr>
        <w:ind w:left="4774" w:hanging="480"/>
      </w:pPr>
    </w:lvl>
    <w:lvl w:ilvl="6" w:tplc="0409000F" w:tentative="1">
      <w:start w:val="1"/>
      <w:numFmt w:val="decimal"/>
      <w:lvlText w:val="%7."/>
      <w:lvlJc w:val="left"/>
      <w:pPr>
        <w:ind w:left="5254" w:hanging="480"/>
      </w:pPr>
    </w:lvl>
    <w:lvl w:ilvl="7" w:tplc="04090019" w:tentative="1">
      <w:start w:val="1"/>
      <w:numFmt w:val="ideographTraditional"/>
      <w:lvlText w:val="%8、"/>
      <w:lvlJc w:val="left"/>
      <w:pPr>
        <w:ind w:left="5734" w:hanging="480"/>
      </w:pPr>
    </w:lvl>
    <w:lvl w:ilvl="8" w:tplc="0409001B" w:tentative="1">
      <w:start w:val="1"/>
      <w:numFmt w:val="lowerRoman"/>
      <w:lvlText w:val="%9."/>
      <w:lvlJc w:val="right"/>
      <w:pPr>
        <w:ind w:left="6214" w:hanging="480"/>
      </w:pPr>
    </w:lvl>
  </w:abstractNum>
  <w:abstractNum w:abstractNumId="22">
    <w:nsid w:val="799C1BF2"/>
    <w:multiLevelType w:val="multilevel"/>
    <w:tmpl w:val="B3AA37EC"/>
    <w:lvl w:ilvl="0">
      <w:start w:val="1"/>
      <w:numFmt w:val="decimal"/>
      <w:lvlText w:val="%1."/>
      <w:lvlJc w:val="left"/>
      <w:pPr>
        <w:ind w:left="1936" w:hanging="480"/>
      </w:pPr>
      <w:rPr>
        <w:rFonts w:ascii="標楷體" w:eastAsia="標楷體" w:hAnsi="標楷體" w:cs="Times New Roman" w:hint="default"/>
      </w:rPr>
    </w:lvl>
    <w:lvl w:ilvl="1">
      <w:start w:val="2"/>
      <w:numFmt w:val="decimal"/>
      <w:isLgl/>
      <w:lvlText w:val="%1.%2"/>
      <w:lvlJc w:val="left"/>
      <w:pPr>
        <w:ind w:left="2428" w:hanging="972"/>
      </w:pPr>
      <w:rPr>
        <w:rFonts w:hint="default"/>
      </w:rPr>
    </w:lvl>
    <w:lvl w:ilvl="2">
      <w:start w:val="1"/>
      <w:numFmt w:val="decimal"/>
      <w:isLgl/>
      <w:lvlText w:val="%1.%2.%3"/>
      <w:lvlJc w:val="left"/>
      <w:pPr>
        <w:ind w:left="2428" w:hanging="972"/>
      </w:pPr>
      <w:rPr>
        <w:rFonts w:hint="default"/>
      </w:rPr>
    </w:lvl>
    <w:lvl w:ilvl="3">
      <w:start w:val="1"/>
      <w:numFmt w:val="decimal"/>
      <w:isLgl/>
      <w:lvlText w:val="%1.%2.%3.%4"/>
      <w:lvlJc w:val="left"/>
      <w:pPr>
        <w:ind w:left="2536"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2896" w:hanging="1440"/>
      </w:pPr>
      <w:rPr>
        <w:rFonts w:hint="default"/>
      </w:rPr>
    </w:lvl>
    <w:lvl w:ilvl="6">
      <w:start w:val="1"/>
      <w:numFmt w:val="decimal"/>
      <w:isLgl/>
      <w:lvlText w:val="%1.%2.%3.%4.%5.%6.%7"/>
      <w:lvlJc w:val="left"/>
      <w:pPr>
        <w:ind w:left="2896" w:hanging="1440"/>
      </w:pPr>
      <w:rPr>
        <w:rFonts w:hint="default"/>
      </w:rPr>
    </w:lvl>
    <w:lvl w:ilvl="7">
      <w:start w:val="1"/>
      <w:numFmt w:val="decimal"/>
      <w:isLgl/>
      <w:lvlText w:val="%1.%2.%3.%4.%5.%6.%7.%8"/>
      <w:lvlJc w:val="left"/>
      <w:pPr>
        <w:ind w:left="3256" w:hanging="1800"/>
      </w:pPr>
      <w:rPr>
        <w:rFonts w:hint="default"/>
      </w:rPr>
    </w:lvl>
    <w:lvl w:ilvl="8">
      <w:start w:val="1"/>
      <w:numFmt w:val="decimal"/>
      <w:isLgl/>
      <w:lvlText w:val="%1.%2.%3.%4.%5.%6.%7.%8.%9"/>
      <w:lvlJc w:val="left"/>
      <w:pPr>
        <w:ind w:left="3256" w:hanging="1800"/>
      </w:pPr>
      <w:rPr>
        <w:rFonts w:hint="default"/>
      </w:rPr>
    </w:lvl>
  </w:abstractNum>
  <w:abstractNum w:abstractNumId="23">
    <w:nsid w:val="79B744E0"/>
    <w:multiLevelType w:val="hybridMultilevel"/>
    <w:tmpl w:val="5FEA2DA2"/>
    <w:lvl w:ilvl="0" w:tplc="6C14ABEC">
      <w:start w:val="1"/>
      <w:numFmt w:val="taiwaneseCountingThousand"/>
      <w:lvlText w:val="(%1)"/>
      <w:lvlJc w:val="left"/>
      <w:pPr>
        <w:ind w:left="2302" w:hanging="408"/>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7D8E7FB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5">
    <w:nsid w:val="7FF95851"/>
    <w:multiLevelType w:val="hybridMultilevel"/>
    <w:tmpl w:val="E93EA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5"/>
  </w:num>
  <w:num w:numId="3">
    <w:abstractNumId w:val="1"/>
  </w:num>
  <w:num w:numId="4">
    <w:abstractNumId w:val="0"/>
  </w:num>
  <w:num w:numId="5">
    <w:abstractNumId w:val="13"/>
  </w:num>
  <w:num w:numId="6">
    <w:abstractNumId w:val="5"/>
  </w:num>
  <w:num w:numId="7">
    <w:abstractNumId w:val="6"/>
  </w:num>
  <w:num w:numId="8">
    <w:abstractNumId w:val="14"/>
  </w:num>
  <w:num w:numId="9">
    <w:abstractNumId w:val="22"/>
  </w:num>
  <w:num w:numId="10">
    <w:abstractNumId w:val="10"/>
  </w:num>
  <w:num w:numId="11">
    <w:abstractNumId w:val="12"/>
  </w:num>
  <w:num w:numId="12">
    <w:abstractNumId w:val="2"/>
  </w:num>
  <w:num w:numId="13">
    <w:abstractNumId w:val="24"/>
  </w:num>
  <w:num w:numId="14">
    <w:abstractNumId w:val="16"/>
  </w:num>
  <w:num w:numId="15">
    <w:abstractNumId w:val="4"/>
  </w:num>
  <w:num w:numId="16">
    <w:abstractNumId w:val="9"/>
  </w:num>
  <w:num w:numId="17">
    <w:abstractNumId w:val="20"/>
  </w:num>
  <w:num w:numId="18">
    <w:abstractNumId w:val="21"/>
  </w:num>
  <w:num w:numId="19">
    <w:abstractNumId w:val="8"/>
  </w:num>
  <w:num w:numId="20">
    <w:abstractNumId w:val="3"/>
  </w:num>
  <w:num w:numId="21">
    <w:abstractNumId w:val="18"/>
  </w:num>
  <w:num w:numId="22">
    <w:abstractNumId w:val="7"/>
  </w:num>
  <w:num w:numId="23">
    <w:abstractNumId w:val="23"/>
  </w:num>
  <w:num w:numId="24">
    <w:abstractNumId w:val="1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5BA6"/>
    <w:rsid w:val="0008034C"/>
    <w:rsid w:val="0013375F"/>
    <w:rsid w:val="002029DA"/>
    <w:rsid w:val="00245444"/>
    <w:rsid w:val="0031136A"/>
    <w:rsid w:val="00375FF7"/>
    <w:rsid w:val="00387288"/>
    <w:rsid w:val="003954D4"/>
    <w:rsid w:val="003A5FED"/>
    <w:rsid w:val="00422962"/>
    <w:rsid w:val="0043224B"/>
    <w:rsid w:val="004329A6"/>
    <w:rsid w:val="004551B6"/>
    <w:rsid w:val="00456CFC"/>
    <w:rsid w:val="00460580"/>
    <w:rsid w:val="00485A17"/>
    <w:rsid w:val="004934F4"/>
    <w:rsid w:val="004F5D7A"/>
    <w:rsid w:val="00567803"/>
    <w:rsid w:val="005F240E"/>
    <w:rsid w:val="005F4D1B"/>
    <w:rsid w:val="0062737F"/>
    <w:rsid w:val="00682BD7"/>
    <w:rsid w:val="007F08F6"/>
    <w:rsid w:val="008E10A0"/>
    <w:rsid w:val="00903B3B"/>
    <w:rsid w:val="00967FF2"/>
    <w:rsid w:val="00A36426"/>
    <w:rsid w:val="00A75BA6"/>
    <w:rsid w:val="00A81BD0"/>
    <w:rsid w:val="00AB388A"/>
    <w:rsid w:val="00AC225F"/>
    <w:rsid w:val="00B02FC1"/>
    <w:rsid w:val="00B51AC0"/>
    <w:rsid w:val="00B70CD4"/>
    <w:rsid w:val="00B767E0"/>
    <w:rsid w:val="00BB5090"/>
    <w:rsid w:val="00BF0EA9"/>
    <w:rsid w:val="00C17E1D"/>
    <w:rsid w:val="00C76B1E"/>
    <w:rsid w:val="00CE03CD"/>
    <w:rsid w:val="00D76ADD"/>
    <w:rsid w:val="00D97DF9"/>
    <w:rsid w:val="00EB4D16"/>
    <w:rsid w:val="00F02115"/>
    <w:rsid w:val="00F450E7"/>
    <w:rsid w:val="00F74FAA"/>
    <w:rsid w:val="00F86076"/>
    <w:rsid w:val="00F900C4"/>
    <w:rsid w:val="00F93556"/>
    <w:rsid w:val="00FE2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paragraph" w:customStyle="1" w:styleId="110">
    <w:name w:val="1.1段"/>
    <w:uiPriority w:val="99"/>
    <w:rsid w:val="00AC225F"/>
    <w:pPr>
      <w:snapToGrid w:val="0"/>
      <w:spacing w:line="400" w:lineRule="atLeast"/>
      <w:ind w:leftChars="315" w:left="756"/>
      <w:jc w:val="both"/>
    </w:pPr>
    <w:rPr>
      <w:rFonts w:ascii="Times New Roman" w:eastAsia="標楷體" w:hAnsi="Times New Roman" w:cs="Times New Roman"/>
      <w:noProof/>
      <w:kern w:val="0"/>
      <w:szCs w:val="20"/>
    </w:rPr>
  </w:style>
  <w:style w:type="paragraph" w:customStyle="1" w:styleId="1">
    <w:name w:val="1"/>
    <w:basedOn w:val="a0"/>
    <w:rsid w:val="00AC225F"/>
    <w:pPr>
      <w:snapToGrid w:val="0"/>
      <w:spacing w:before="120" w:after="60" w:line="440" w:lineRule="atLeast"/>
      <w:ind w:left="1270" w:right="11" w:hanging="278"/>
    </w:pPr>
    <w:rPr>
      <w:rFonts w:ascii="Arial" w:eastAsia="標楷體" w:hAnsi="Arial"/>
    </w:rPr>
  </w:style>
  <w:style w:type="paragraph" w:customStyle="1" w:styleId="10">
    <w:name w:val="(1)"/>
    <w:basedOn w:val="1"/>
    <w:rsid w:val="00AC225F"/>
    <w:pPr>
      <w:ind w:left="1701" w:right="0"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534">
      <w:bodyDiv w:val="1"/>
      <w:marLeft w:val="0"/>
      <w:marRight w:val="0"/>
      <w:marTop w:val="0"/>
      <w:marBottom w:val="0"/>
      <w:divBdr>
        <w:top w:val="none" w:sz="0" w:space="0" w:color="auto"/>
        <w:left w:val="none" w:sz="0" w:space="0" w:color="auto"/>
        <w:bottom w:val="none" w:sz="0" w:space="0" w:color="auto"/>
        <w:right w:val="none" w:sz="0" w:space="0" w:color="auto"/>
      </w:divBdr>
    </w:div>
    <w:div w:id="1273896217">
      <w:bodyDiv w:val="1"/>
      <w:marLeft w:val="0"/>
      <w:marRight w:val="0"/>
      <w:marTop w:val="0"/>
      <w:marBottom w:val="0"/>
      <w:divBdr>
        <w:top w:val="none" w:sz="0" w:space="0" w:color="auto"/>
        <w:left w:val="none" w:sz="0" w:space="0" w:color="auto"/>
        <w:bottom w:val="none" w:sz="0" w:space="0" w:color="auto"/>
        <w:right w:val="none" w:sz="0" w:space="0" w:color="auto"/>
      </w:divBdr>
    </w:div>
    <w:div w:id="2052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FD18-3BB3-4354-94FC-00F507C5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鍾郁屏</dc:creator>
  <cp:keywords/>
  <dc:description/>
  <cp:lastModifiedBy>林琬純</cp:lastModifiedBy>
  <cp:revision>18</cp:revision>
  <cp:lastPrinted>2019-07-18T06:54:00Z</cp:lastPrinted>
  <dcterms:created xsi:type="dcterms:W3CDTF">2019-07-18T07:12:00Z</dcterms:created>
  <dcterms:modified xsi:type="dcterms:W3CDTF">2021-04-08T02:21:00Z</dcterms:modified>
</cp:coreProperties>
</file>