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BA" w:rsidRPr="00382B7F" w:rsidRDefault="00470BEB">
      <w:pPr>
        <w:pStyle w:val="Standard"/>
        <w:jc w:val="center"/>
        <w:rPr>
          <w:rFonts w:eastAsia="標楷體"/>
          <w:b/>
          <w:sz w:val="36"/>
          <w:szCs w:val="36"/>
        </w:rPr>
      </w:pPr>
      <w:r w:rsidRPr="00382B7F">
        <w:rPr>
          <w:rFonts w:eastAsia="標楷體"/>
          <w:b/>
          <w:sz w:val="36"/>
          <w:szCs w:val="36"/>
        </w:rPr>
        <w:t>都市計畫公開展覽說明會傳單暨公民或團體意見書</w:t>
      </w:r>
    </w:p>
    <w:p w:rsidR="00A036BA" w:rsidRPr="00382B7F" w:rsidRDefault="00470BEB">
      <w:pPr>
        <w:pStyle w:val="Textbodyindent"/>
        <w:spacing w:line="320" w:lineRule="exact"/>
        <w:ind w:left="780" w:hanging="780"/>
        <w:jc w:val="both"/>
      </w:pPr>
      <w:r w:rsidRPr="00382B7F">
        <w:rPr>
          <w:sz w:val="26"/>
          <w:szCs w:val="26"/>
        </w:rPr>
        <w:t>主旨：舉辦本市都市計畫「</w:t>
      </w:r>
      <w:r w:rsidR="00632DCA" w:rsidRPr="00382B7F">
        <w:rPr>
          <w:sz w:val="26"/>
          <w:szCs w:val="26"/>
        </w:rPr>
        <w:t>變更高雄市都市計畫（楠梓加工出口區、後勁及右昌一帶鄰近地區）細部計畫乙種工業區（工七）事業及財務計畫、土地使用分區管制相關規定案</w:t>
      </w:r>
      <w:r w:rsidRPr="00382B7F">
        <w:rPr>
          <w:sz w:val="26"/>
          <w:szCs w:val="26"/>
        </w:rPr>
        <w:t>」公開展覽說明會。</w:t>
      </w:r>
    </w:p>
    <w:p w:rsidR="00A036BA" w:rsidRPr="00382B7F" w:rsidRDefault="00470BEB">
      <w:pPr>
        <w:pStyle w:val="Standard"/>
        <w:spacing w:line="320" w:lineRule="exact"/>
        <w:jc w:val="both"/>
        <w:rPr>
          <w:rFonts w:eastAsia="標楷體"/>
        </w:rPr>
      </w:pPr>
      <w:r w:rsidRPr="00382B7F">
        <w:rPr>
          <w:rFonts w:eastAsia="標楷體"/>
          <w:sz w:val="26"/>
          <w:szCs w:val="26"/>
        </w:rPr>
        <w:t>依據：依據都市計畫法第</w:t>
      </w:r>
      <w:r w:rsidRPr="00382B7F">
        <w:rPr>
          <w:rFonts w:eastAsia="標楷體"/>
          <w:sz w:val="26"/>
          <w:szCs w:val="26"/>
        </w:rPr>
        <w:t>19</w:t>
      </w:r>
      <w:r w:rsidRPr="00382B7F">
        <w:rPr>
          <w:rFonts w:eastAsia="標楷體"/>
          <w:sz w:val="26"/>
          <w:szCs w:val="26"/>
        </w:rPr>
        <w:t>條規定辦理。</w:t>
      </w:r>
    </w:p>
    <w:p w:rsidR="00A036BA" w:rsidRPr="00382B7F" w:rsidRDefault="00470BEB">
      <w:pPr>
        <w:pStyle w:val="Textbodyindent"/>
        <w:spacing w:line="320" w:lineRule="exact"/>
        <w:ind w:left="780" w:hanging="780"/>
        <w:jc w:val="both"/>
        <w:rPr>
          <w:sz w:val="26"/>
          <w:szCs w:val="26"/>
        </w:rPr>
      </w:pPr>
      <w:r w:rsidRPr="00382B7F">
        <w:rPr>
          <w:sz w:val="26"/>
          <w:szCs w:val="26"/>
        </w:rPr>
        <w:t>說明：</w:t>
      </w:r>
    </w:p>
    <w:p w:rsidR="00A036BA" w:rsidRPr="00D60812" w:rsidRDefault="00470BEB">
      <w:pPr>
        <w:pStyle w:val="Textbodyindent"/>
        <w:spacing w:line="320" w:lineRule="exact"/>
        <w:ind w:left="780" w:hanging="780"/>
        <w:jc w:val="both"/>
      </w:pPr>
      <w:r w:rsidRPr="00382B7F">
        <w:rPr>
          <w:sz w:val="26"/>
          <w:szCs w:val="26"/>
        </w:rPr>
        <w:t xml:space="preserve">  </w:t>
      </w:r>
      <w:r w:rsidRPr="00382B7F">
        <w:rPr>
          <w:sz w:val="26"/>
          <w:szCs w:val="26"/>
        </w:rPr>
        <w:t>一、本市都市計畫「</w:t>
      </w:r>
      <w:r w:rsidR="00632DCA" w:rsidRPr="00382B7F">
        <w:rPr>
          <w:sz w:val="26"/>
          <w:szCs w:val="26"/>
        </w:rPr>
        <w:t>變更高雄市都市計畫（楠梓加工出口區、後勁及右昌一帶鄰近地區）細部計畫乙種工業區（工七）事業及財務計畫、土地使用分區管制相關規定案</w:t>
      </w:r>
      <w:r w:rsidRPr="00382B7F">
        <w:rPr>
          <w:sz w:val="26"/>
          <w:szCs w:val="26"/>
        </w:rPr>
        <w:t>」之</w:t>
      </w:r>
      <w:r w:rsidRPr="00382B7F">
        <w:rPr>
          <w:b/>
          <w:sz w:val="26"/>
          <w:szCs w:val="26"/>
        </w:rPr>
        <w:t>公告公開展覽自</w:t>
      </w:r>
      <w:r w:rsidRPr="00D60812">
        <w:rPr>
          <w:b/>
          <w:sz w:val="26"/>
          <w:szCs w:val="26"/>
        </w:rPr>
        <w:t>民國</w:t>
      </w:r>
      <w:r w:rsidRPr="00D60812">
        <w:rPr>
          <w:b/>
          <w:sz w:val="26"/>
          <w:szCs w:val="26"/>
        </w:rPr>
        <w:t>106</w:t>
      </w:r>
      <w:r w:rsidRPr="00D60812">
        <w:rPr>
          <w:b/>
          <w:sz w:val="26"/>
          <w:szCs w:val="26"/>
        </w:rPr>
        <w:t>年</w:t>
      </w:r>
      <w:r w:rsidR="000D6470" w:rsidRPr="00D60812">
        <w:rPr>
          <w:rFonts w:hint="eastAsia"/>
          <w:b/>
          <w:sz w:val="26"/>
          <w:szCs w:val="26"/>
        </w:rPr>
        <w:t>9</w:t>
      </w:r>
      <w:r w:rsidRPr="00D60812">
        <w:rPr>
          <w:b/>
          <w:sz w:val="26"/>
          <w:szCs w:val="26"/>
        </w:rPr>
        <w:t>月</w:t>
      </w:r>
      <w:r w:rsidR="000D6470" w:rsidRPr="00D60812">
        <w:rPr>
          <w:rFonts w:hint="eastAsia"/>
          <w:b/>
          <w:sz w:val="26"/>
          <w:szCs w:val="26"/>
        </w:rPr>
        <w:t>9</w:t>
      </w:r>
      <w:r w:rsidRPr="00D60812">
        <w:rPr>
          <w:b/>
          <w:sz w:val="26"/>
          <w:szCs w:val="26"/>
        </w:rPr>
        <w:t>日起至</w:t>
      </w:r>
      <w:r w:rsidRPr="00D60812">
        <w:rPr>
          <w:b/>
          <w:sz w:val="26"/>
          <w:szCs w:val="26"/>
        </w:rPr>
        <w:t>106</w:t>
      </w:r>
      <w:r w:rsidRPr="00D60812">
        <w:rPr>
          <w:b/>
          <w:sz w:val="26"/>
          <w:szCs w:val="26"/>
        </w:rPr>
        <w:t>年</w:t>
      </w:r>
      <w:r w:rsidR="000D6470" w:rsidRPr="00D60812">
        <w:rPr>
          <w:rFonts w:hint="eastAsia"/>
          <w:b/>
          <w:sz w:val="26"/>
          <w:szCs w:val="26"/>
        </w:rPr>
        <w:t>10</w:t>
      </w:r>
      <w:r w:rsidRPr="00D60812">
        <w:rPr>
          <w:b/>
          <w:sz w:val="26"/>
          <w:szCs w:val="26"/>
        </w:rPr>
        <w:t>月</w:t>
      </w:r>
      <w:r w:rsidR="000D6470" w:rsidRPr="00D60812">
        <w:rPr>
          <w:rFonts w:hint="eastAsia"/>
          <w:b/>
          <w:sz w:val="26"/>
          <w:szCs w:val="26"/>
        </w:rPr>
        <w:t>10</w:t>
      </w:r>
      <w:r w:rsidRPr="00D60812">
        <w:rPr>
          <w:b/>
          <w:sz w:val="26"/>
          <w:szCs w:val="26"/>
        </w:rPr>
        <w:t>日止</w:t>
      </w:r>
      <w:r w:rsidRPr="00D60812">
        <w:rPr>
          <w:sz w:val="26"/>
          <w:szCs w:val="26"/>
        </w:rPr>
        <w:t>。</w:t>
      </w:r>
    </w:p>
    <w:p w:rsidR="00A036BA" w:rsidRPr="00D60812" w:rsidRDefault="00470BEB">
      <w:pPr>
        <w:pStyle w:val="Standard"/>
        <w:spacing w:line="320" w:lineRule="exact"/>
        <w:ind w:left="975" w:hanging="794"/>
        <w:jc w:val="both"/>
        <w:rPr>
          <w:rFonts w:eastAsia="標楷體"/>
        </w:rPr>
      </w:pPr>
      <w:r w:rsidRPr="00D60812">
        <w:rPr>
          <w:rFonts w:eastAsia="標楷體"/>
          <w:sz w:val="26"/>
          <w:szCs w:val="26"/>
        </w:rPr>
        <w:t xml:space="preserve"> </w:t>
      </w:r>
      <w:r w:rsidRPr="00D60812">
        <w:rPr>
          <w:rFonts w:eastAsia="標楷體"/>
          <w:sz w:val="26"/>
          <w:szCs w:val="26"/>
        </w:rPr>
        <w:t>二、展覽地點：</w:t>
      </w:r>
    </w:p>
    <w:p w:rsidR="00A036BA" w:rsidRPr="00D60812" w:rsidRDefault="00470BEB">
      <w:pPr>
        <w:pStyle w:val="a6"/>
        <w:spacing w:line="320" w:lineRule="exact"/>
        <w:ind w:left="600" w:firstLine="0"/>
        <w:rPr>
          <w:sz w:val="26"/>
          <w:szCs w:val="26"/>
        </w:rPr>
      </w:pPr>
      <w:r w:rsidRPr="00D60812">
        <w:rPr>
          <w:sz w:val="26"/>
          <w:szCs w:val="26"/>
        </w:rPr>
        <w:t>（一）本府四維行政中心都市發展局都市計畫公告欄。</w:t>
      </w:r>
    </w:p>
    <w:p w:rsidR="00A036BA" w:rsidRPr="00D60812" w:rsidRDefault="00470BEB">
      <w:pPr>
        <w:pStyle w:val="a6"/>
        <w:spacing w:line="320" w:lineRule="exact"/>
        <w:ind w:left="1368" w:hanging="780"/>
      </w:pPr>
      <w:r w:rsidRPr="00D60812">
        <w:rPr>
          <w:sz w:val="26"/>
          <w:szCs w:val="26"/>
        </w:rPr>
        <w:t>（二）本市</w:t>
      </w:r>
      <w:r w:rsidR="00632DCA" w:rsidRPr="00D60812">
        <w:rPr>
          <w:sz w:val="26"/>
          <w:szCs w:val="26"/>
        </w:rPr>
        <w:t>楠梓</w:t>
      </w:r>
      <w:r w:rsidRPr="00D60812">
        <w:rPr>
          <w:sz w:val="26"/>
          <w:szCs w:val="26"/>
        </w:rPr>
        <w:t>區公所公告欄。</w:t>
      </w:r>
    </w:p>
    <w:p w:rsidR="00A036BA" w:rsidRPr="00D60812" w:rsidRDefault="00470BEB">
      <w:pPr>
        <w:pStyle w:val="a6"/>
        <w:spacing w:line="320" w:lineRule="exact"/>
        <w:ind w:left="1250" w:hanging="650"/>
      </w:pPr>
      <w:r w:rsidRPr="00D60812">
        <w:rPr>
          <w:sz w:val="26"/>
          <w:szCs w:val="26"/>
        </w:rPr>
        <w:t>（三）本府都市發展局網站：</w:t>
      </w:r>
      <w:r w:rsidRPr="00D60812">
        <w:rPr>
          <w:sz w:val="26"/>
          <w:szCs w:val="26"/>
        </w:rPr>
        <w:t>http://urban-web.kcg.gov.tw→</w:t>
      </w:r>
      <w:r w:rsidRPr="00D60812">
        <w:rPr>
          <w:sz w:val="26"/>
          <w:szCs w:val="26"/>
        </w:rPr>
        <w:t>「都市計畫專區」</w:t>
      </w:r>
      <w:r w:rsidRPr="00D60812">
        <w:rPr>
          <w:sz w:val="26"/>
          <w:szCs w:val="26"/>
        </w:rPr>
        <w:t>→</w:t>
      </w:r>
      <w:r w:rsidRPr="00D60812">
        <w:rPr>
          <w:sz w:val="26"/>
          <w:szCs w:val="26"/>
        </w:rPr>
        <w:t>「都市計畫公告」</w:t>
      </w:r>
      <w:r w:rsidRPr="00D60812">
        <w:rPr>
          <w:sz w:val="26"/>
          <w:szCs w:val="26"/>
        </w:rPr>
        <w:t>→</w:t>
      </w:r>
      <w:r w:rsidRPr="00D60812">
        <w:rPr>
          <w:sz w:val="26"/>
          <w:szCs w:val="26"/>
        </w:rPr>
        <w:t>選擇「公告公開展覽」</w:t>
      </w:r>
      <w:r w:rsidRPr="00D60812">
        <w:rPr>
          <w:sz w:val="26"/>
          <w:szCs w:val="26"/>
        </w:rPr>
        <w:t>→</w:t>
      </w:r>
      <w:r w:rsidRPr="00D60812">
        <w:rPr>
          <w:sz w:val="26"/>
          <w:szCs w:val="26"/>
        </w:rPr>
        <w:t>搜尋及點選本</w:t>
      </w:r>
      <w:proofErr w:type="gramStart"/>
      <w:r w:rsidRPr="00D60812">
        <w:rPr>
          <w:sz w:val="26"/>
          <w:szCs w:val="26"/>
        </w:rPr>
        <w:t>計畫案名</w:t>
      </w:r>
      <w:proofErr w:type="gramEnd"/>
      <w:r w:rsidRPr="00D60812">
        <w:rPr>
          <w:sz w:val="26"/>
          <w:szCs w:val="26"/>
        </w:rPr>
        <w:t>。</w:t>
      </w:r>
    </w:p>
    <w:p w:rsidR="00632DCA" w:rsidRPr="00D60812" w:rsidRDefault="00470BEB" w:rsidP="00632DCA">
      <w:pPr>
        <w:pStyle w:val="Standard"/>
        <w:spacing w:line="320" w:lineRule="exact"/>
        <w:jc w:val="both"/>
        <w:rPr>
          <w:rFonts w:eastAsia="標楷體"/>
        </w:rPr>
      </w:pPr>
      <w:r w:rsidRPr="00D60812">
        <w:rPr>
          <w:rFonts w:eastAsia="標楷體"/>
          <w:sz w:val="26"/>
          <w:szCs w:val="26"/>
        </w:rPr>
        <w:t xml:space="preserve">  </w:t>
      </w:r>
      <w:r w:rsidRPr="00D60812">
        <w:rPr>
          <w:rFonts w:eastAsia="標楷體"/>
          <w:sz w:val="26"/>
          <w:szCs w:val="26"/>
        </w:rPr>
        <w:t>三、展覽內容：</w:t>
      </w:r>
      <w:r w:rsidR="00632DCA" w:rsidRPr="00D60812">
        <w:rPr>
          <w:rFonts w:eastAsia="標楷體"/>
          <w:sz w:val="26"/>
          <w:szCs w:val="26"/>
        </w:rPr>
        <w:t>都市計畫書</w:t>
      </w:r>
      <w:r w:rsidRPr="00D60812">
        <w:rPr>
          <w:rFonts w:eastAsia="標楷體"/>
          <w:sz w:val="26"/>
          <w:szCs w:val="26"/>
        </w:rPr>
        <w:t>1</w:t>
      </w:r>
      <w:r w:rsidRPr="00D60812">
        <w:rPr>
          <w:rFonts w:eastAsia="標楷體"/>
          <w:sz w:val="26"/>
          <w:szCs w:val="26"/>
        </w:rPr>
        <w:t>份。</w:t>
      </w:r>
    </w:p>
    <w:p w:rsidR="00A036BA" w:rsidRPr="00D60812" w:rsidRDefault="00632DCA" w:rsidP="00632DCA">
      <w:pPr>
        <w:pStyle w:val="Standard"/>
        <w:spacing w:line="320" w:lineRule="exact"/>
        <w:ind w:leftChars="60" w:left="708" w:hangingChars="217" w:hanging="564"/>
        <w:jc w:val="both"/>
        <w:rPr>
          <w:rFonts w:eastAsia="標楷體"/>
          <w:sz w:val="26"/>
          <w:szCs w:val="26"/>
        </w:rPr>
      </w:pPr>
      <w:r w:rsidRPr="00D60812">
        <w:rPr>
          <w:rFonts w:eastAsia="標楷體"/>
          <w:sz w:val="26"/>
          <w:szCs w:val="26"/>
        </w:rPr>
        <w:t>四、公開展覽期間任何公民或團體如有意見，請依下列所附參考格式</w:t>
      </w:r>
      <w:proofErr w:type="gramStart"/>
      <w:r w:rsidRPr="00D60812">
        <w:rPr>
          <w:rFonts w:eastAsia="標楷體"/>
          <w:sz w:val="26"/>
          <w:szCs w:val="26"/>
        </w:rPr>
        <w:t>填妥敘明</w:t>
      </w:r>
      <w:proofErr w:type="gramEnd"/>
      <w:r w:rsidRPr="00D60812">
        <w:rPr>
          <w:rFonts w:eastAsia="標楷體"/>
          <w:sz w:val="26"/>
          <w:szCs w:val="26"/>
        </w:rPr>
        <w:t>內容、理由並附具位置略圖，載明姓名或名稱及通聯地址，向</w:t>
      </w:r>
      <w:r w:rsidR="006400D1" w:rsidRPr="00D60812">
        <w:rPr>
          <w:rFonts w:eastAsia="標楷體"/>
          <w:sz w:val="26"/>
          <w:szCs w:val="26"/>
        </w:rPr>
        <w:t>本市</w:t>
      </w:r>
      <w:r w:rsidRPr="00D60812">
        <w:rPr>
          <w:rFonts w:eastAsia="標楷體"/>
          <w:sz w:val="26"/>
          <w:szCs w:val="26"/>
        </w:rPr>
        <w:t>都市計畫委員會提出，</w:t>
      </w:r>
      <w:proofErr w:type="gramStart"/>
      <w:r w:rsidRPr="00D60812">
        <w:rPr>
          <w:rFonts w:eastAsia="標楷體"/>
          <w:sz w:val="26"/>
          <w:szCs w:val="26"/>
        </w:rPr>
        <w:t>俾</w:t>
      </w:r>
      <w:proofErr w:type="gramEnd"/>
      <w:r w:rsidRPr="00D60812">
        <w:rPr>
          <w:rFonts w:eastAsia="標楷體"/>
          <w:sz w:val="26"/>
          <w:szCs w:val="26"/>
        </w:rPr>
        <w:t>供都市計畫委員會審議本案參考。</w:t>
      </w:r>
    </w:p>
    <w:p w:rsidR="004A305A" w:rsidRPr="00D60812" w:rsidRDefault="004A305A" w:rsidP="004A305A">
      <w:pPr>
        <w:pStyle w:val="Standard"/>
        <w:spacing w:line="240" w:lineRule="atLeast"/>
        <w:ind w:leftChars="60" w:left="708" w:hangingChars="217" w:hanging="564"/>
        <w:jc w:val="both"/>
        <w:rPr>
          <w:rFonts w:eastAsia="標楷體"/>
          <w:sz w:val="26"/>
          <w:szCs w:val="26"/>
        </w:rPr>
      </w:pPr>
    </w:p>
    <w:tbl>
      <w:tblPr>
        <w:tblW w:w="9190" w:type="dxa"/>
        <w:tblInd w:w="175" w:type="dxa"/>
        <w:tblLayout w:type="fixed"/>
        <w:tblCellMar>
          <w:left w:w="10" w:type="dxa"/>
          <w:right w:w="10" w:type="dxa"/>
        </w:tblCellMar>
        <w:tblLook w:val="0000"/>
      </w:tblPr>
      <w:tblGrid>
        <w:gridCol w:w="3648"/>
        <w:gridCol w:w="1932"/>
        <w:gridCol w:w="3610"/>
      </w:tblGrid>
      <w:tr w:rsidR="00A036BA" w:rsidRPr="00D60812" w:rsidTr="004A305A">
        <w:trPr>
          <w:trHeight w:val="20"/>
        </w:trPr>
        <w:tc>
          <w:tcPr>
            <w:tcW w:w="3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36BA" w:rsidRPr="00D60812" w:rsidRDefault="006400D1">
            <w:pPr>
              <w:pStyle w:val="Standard"/>
              <w:tabs>
                <w:tab w:val="left" w:pos="1440"/>
              </w:tabs>
              <w:snapToGrid w:val="0"/>
              <w:spacing w:line="240" w:lineRule="auto"/>
              <w:jc w:val="center"/>
              <w:rPr>
                <w:rFonts w:eastAsia="標楷體"/>
                <w:b/>
                <w:sz w:val="26"/>
                <w:szCs w:val="26"/>
              </w:rPr>
            </w:pPr>
            <w:r w:rsidRPr="00D60812">
              <w:rPr>
                <w:rFonts w:eastAsia="標楷體"/>
                <w:b/>
                <w:sz w:val="26"/>
                <w:szCs w:val="26"/>
              </w:rPr>
              <w:t>公開展覽</w:t>
            </w:r>
            <w:r w:rsidR="00470BEB" w:rsidRPr="00D60812">
              <w:rPr>
                <w:rFonts w:eastAsia="標楷體"/>
                <w:b/>
                <w:sz w:val="26"/>
                <w:szCs w:val="26"/>
              </w:rPr>
              <w:t>說明會日期</w:t>
            </w:r>
          </w:p>
        </w:tc>
        <w:tc>
          <w:tcPr>
            <w:tcW w:w="19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36BA" w:rsidRPr="00D60812" w:rsidRDefault="00470BEB">
            <w:pPr>
              <w:pStyle w:val="Standard"/>
              <w:tabs>
                <w:tab w:val="left" w:pos="1440"/>
              </w:tabs>
              <w:snapToGrid w:val="0"/>
              <w:spacing w:line="240" w:lineRule="auto"/>
              <w:jc w:val="center"/>
              <w:rPr>
                <w:rFonts w:eastAsia="標楷體"/>
                <w:b/>
                <w:sz w:val="26"/>
                <w:szCs w:val="26"/>
              </w:rPr>
            </w:pPr>
            <w:r w:rsidRPr="00D60812">
              <w:rPr>
                <w:rFonts w:eastAsia="標楷體"/>
                <w:b/>
                <w:sz w:val="26"/>
                <w:szCs w:val="26"/>
              </w:rPr>
              <w:t>時間</w:t>
            </w: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36BA" w:rsidRPr="00D60812" w:rsidRDefault="00470BEB">
            <w:pPr>
              <w:pStyle w:val="Standard"/>
              <w:tabs>
                <w:tab w:val="left" w:pos="1440"/>
              </w:tabs>
              <w:snapToGrid w:val="0"/>
              <w:spacing w:line="240" w:lineRule="auto"/>
              <w:jc w:val="center"/>
              <w:rPr>
                <w:rFonts w:eastAsia="標楷體"/>
                <w:b/>
                <w:sz w:val="26"/>
                <w:szCs w:val="26"/>
              </w:rPr>
            </w:pPr>
            <w:r w:rsidRPr="00D60812">
              <w:rPr>
                <w:rFonts w:eastAsia="標楷體"/>
                <w:b/>
                <w:sz w:val="26"/>
                <w:szCs w:val="26"/>
              </w:rPr>
              <w:t>地點</w:t>
            </w:r>
          </w:p>
        </w:tc>
      </w:tr>
      <w:tr w:rsidR="00A036BA" w:rsidRPr="00D60812" w:rsidTr="004A305A">
        <w:trPr>
          <w:trHeight w:val="20"/>
        </w:trPr>
        <w:tc>
          <w:tcPr>
            <w:tcW w:w="3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36BA" w:rsidRPr="00D60812" w:rsidRDefault="006400D1" w:rsidP="00F902B8">
            <w:pPr>
              <w:pStyle w:val="Standard"/>
              <w:tabs>
                <w:tab w:val="left" w:pos="1440"/>
              </w:tabs>
              <w:snapToGrid w:val="0"/>
              <w:spacing w:line="240" w:lineRule="auto"/>
              <w:jc w:val="center"/>
              <w:rPr>
                <w:rFonts w:eastAsia="標楷體"/>
              </w:rPr>
            </w:pPr>
            <w:r w:rsidRPr="00D60812">
              <w:rPr>
                <w:rFonts w:eastAsia="標楷體"/>
                <w:sz w:val="26"/>
                <w:szCs w:val="26"/>
              </w:rPr>
              <w:t>106</w:t>
            </w:r>
            <w:r w:rsidRPr="00D60812">
              <w:rPr>
                <w:rFonts w:eastAsia="標楷體"/>
                <w:sz w:val="26"/>
                <w:szCs w:val="26"/>
              </w:rPr>
              <w:t>年</w:t>
            </w:r>
            <w:r w:rsidR="00F902B8" w:rsidRPr="00D60812">
              <w:rPr>
                <w:rFonts w:eastAsia="標楷體" w:hint="eastAsia"/>
                <w:sz w:val="26"/>
                <w:szCs w:val="26"/>
              </w:rPr>
              <w:t>9</w:t>
            </w:r>
            <w:r w:rsidRPr="00D60812">
              <w:rPr>
                <w:rFonts w:eastAsia="標楷體"/>
                <w:sz w:val="26"/>
                <w:szCs w:val="26"/>
              </w:rPr>
              <w:t>月</w:t>
            </w:r>
            <w:r w:rsidR="00F902B8" w:rsidRPr="00D60812">
              <w:rPr>
                <w:rFonts w:eastAsia="標楷體" w:hint="eastAsia"/>
                <w:sz w:val="26"/>
                <w:szCs w:val="26"/>
              </w:rPr>
              <w:t>29</w:t>
            </w:r>
            <w:r w:rsidRPr="00D60812">
              <w:rPr>
                <w:rFonts w:eastAsia="標楷體"/>
                <w:sz w:val="26"/>
                <w:szCs w:val="26"/>
              </w:rPr>
              <w:t>日</w:t>
            </w:r>
            <w:r w:rsidR="00470BEB" w:rsidRPr="00D60812">
              <w:rPr>
                <w:rFonts w:eastAsia="標楷體"/>
                <w:sz w:val="26"/>
                <w:szCs w:val="26"/>
              </w:rPr>
              <w:t>（星期</w:t>
            </w:r>
            <w:r w:rsidR="00F902B8" w:rsidRPr="00D60812">
              <w:rPr>
                <w:rFonts w:eastAsia="標楷體" w:hint="eastAsia"/>
                <w:sz w:val="26"/>
                <w:szCs w:val="26"/>
              </w:rPr>
              <w:t>五</w:t>
            </w:r>
            <w:r w:rsidR="00470BEB" w:rsidRPr="00D60812">
              <w:rPr>
                <w:rFonts w:eastAsia="標楷體"/>
                <w:sz w:val="26"/>
                <w:szCs w:val="26"/>
              </w:rPr>
              <w:t>）</w:t>
            </w:r>
          </w:p>
        </w:tc>
        <w:tc>
          <w:tcPr>
            <w:tcW w:w="19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36BA" w:rsidRPr="00D60812" w:rsidRDefault="00470BEB" w:rsidP="006400D1">
            <w:pPr>
              <w:pStyle w:val="Standard"/>
              <w:tabs>
                <w:tab w:val="left" w:pos="1440"/>
              </w:tabs>
              <w:snapToGrid w:val="0"/>
              <w:spacing w:line="240" w:lineRule="auto"/>
              <w:rPr>
                <w:rFonts w:eastAsia="標楷體"/>
              </w:rPr>
            </w:pPr>
            <w:r w:rsidRPr="00D60812">
              <w:rPr>
                <w:rFonts w:eastAsia="標楷體"/>
                <w:sz w:val="26"/>
                <w:szCs w:val="26"/>
              </w:rPr>
              <w:t xml:space="preserve"> </w:t>
            </w:r>
            <w:r w:rsidRPr="00D60812">
              <w:rPr>
                <w:rFonts w:eastAsia="標楷體"/>
                <w:sz w:val="26"/>
                <w:szCs w:val="26"/>
              </w:rPr>
              <w:t>下午</w:t>
            </w:r>
            <w:r w:rsidR="00F902B8" w:rsidRPr="00D60812">
              <w:rPr>
                <w:rFonts w:eastAsia="標楷體" w:hint="eastAsia"/>
                <w:sz w:val="26"/>
                <w:szCs w:val="26"/>
              </w:rPr>
              <w:t>3</w:t>
            </w:r>
            <w:r w:rsidRPr="00D60812">
              <w:rPr>
                <w:rFonts w:eastAsia="標楷體"/>
                <w:sz w:val="26"/>
                <w:szCs w:val="26"/>
              </w:rPr>
              <w:t>時</w:t>
            </w:r>
            <w:r w:rsidR="00F902B8" w:rsidRPr="00D60812">
              <w:rPr>
                <w:rFonts w:eastAsia="標楷體" w:hint="eastAsia"/>
                <w:sz w:val="26"/>
                <w:szCs w:val="26"/>
              </w:rPr>
              <w:t>30</w:t>
            </w:r>
            <w:r w:rsidRPr="00D60812">
              <w:rPr>
                <w:rFonts w:eastAsia="標楷體"/>
                <w:sz w:val="26"/>
                <w:szCs w:val="26"/>
              </w:rPr>
              <w:t>分</w:t>
            </w: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36BA" w:rsidRPr="00D60812" w:rsidRDefault="00470BEB">
            <w:pPr>
              <w:pStyle w:val="Standard"/>
              <w:tabs>
                <w:tab w:val="left" w:pos="1440"/>
              </w:tabs>
              <w:snapToGrid w:val="0"/>
              <w:spacing w:line="240" w:lineRule="auto"/>
              <w:rPr>
                <w:rFonts w:eastAsia="標楷體"/>
              </w:rPr>
            </w:pPr>
            <w:r w:rsidRPr="00D60812">
              <w:rPr>
                <w:rFonts w:eastAsia="標楷體"/>
                <w:sz w:val="26"/>
                <w:szCs w:val="26"/>
              </w:rPr>
              <w:t>本市</w:t>
            </w:r>
            <w:r w:rsidR="006400D1" w:rsidRPr="00D60812">
              <w:rPr>
                <w:rFonts w:eastAsia="標楷體"/>
                <w:sz w:val="26"/>
                <w:szCs w:val="26"/>
              </w:rPr>
              <w:t>楠梓區公所</w:t>
            </w:r>
            <w:r w:rsidR="000D6470" w:rsidRPr="00D60812">
              <w:rPr>
                <w:rFonts w:eastAsia="標楷體" w:hint="eastAsia"/>
                <w:sz w:val="26"/>
                <w:szCs w:val="26"/>
              </w:rPr>
              <w:t>7</w:t>
            </w:r>
            <w:r w:rsidR="000D6470" w:rsidRPr="00D60812">
              <w:rPr>
                <w:rFonts w:eastAsia="標楷體" w:hint="eastAsia"/>
                <w:sz w:val="26"/>
                <w:szCs w:val="26"/>
              </w:rPr>
              <w:t>樓大禮堂</w:t>
            </w:r>
          </w:p>
        </w:tc>
      </w:tr>
    </w:tbl>
    <w:p w:rsidR="00A036BA" w:rsidRPr="00382B7F" w:rsidRDefault="00A036BA" w:rsidP="004A305A">
      <w:pPr>
        <w:pStyle w:val="Standard"/>
        <w:tabs>
          <w:tab w:val="left" w:pos="2880"/>
        </w:tabs>
        <w:spacing w:line="240" w:lineRule="atLeast"/>
        <w:ind w:left="1441" w:hanging="539"/>
        <w:rPr>
          <w:rFonts w:eastAsia="標楷體"/>
          <w:szCs w:val="24"/>
        </w:rPr>
      </w:pPr>
    </w:p>
    <w:tbl>
      <w:tblPr>
        <w:tblW w:w="9150" w:type="dxa"/>
        <w:tblInd w:w="225" w:type="dxa"/>
        <w:tblLayout w:type="fixed"/>
        <w:tblCellMar>
          <w:left w:w="10" w:type="dxa"/>
          <w:right w:w="10" w:type="dxa"/>
        </w:tblCellMar>
        <w:tblLook w:val="0000"/>
      </w:tblPr>
      <w:tblGrid>
        <w:gridCol w:w="840"/>
        <w:gridCol w:w="8310"/>
      </w:tblGrid>
      <w:tr w:rsidR="00A036BA" w:rsidRPr="00382B7F">
        <w:trPr>
          <w:cantSplit/>
        </w:trPr>
        <w:tc>
          <w:tcPr>
            <w:tcW w:w="9150" w:type="dxa"/>
            <w:gridSpan w:val="2"/>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A036BA" w:rsidRPr="00382B7F" w:rsidRDefault="00470BEB">
            <w:pPr>
              <w:pStyle w:val="Standard"/>
              <w:jc w:val="center"/>
              <w:rPr>
                <w:rFonts w:eastAsia="標楷體"/>
              </w:rPr>
            </w:pPr>
            <w:r w:rsidRPr="00382B7F">
              <w:rPr>
                <w:rFonts w:eastAsia="標楷體"/>
                <w:sz w:val="26"/>
                <w:szCs w:val="26"/>
              </w:rPr>
              <w:t>「</w:t>
            </w:r>
            <w:r w:rsidR="006400D1" w:rsidRPr="00382B7F">
              <w:rPr>
                <w:rFonts w:eastAsia="標楷體"/>
                <w:sz w:val="26"/>
                <w:szCs w:val="26"/>
              </w:rPr>
              <w:t>變更高雄市都市計畫（楠梓加工出口區、後勁及右昌一帶鄰近地區）細部計畫乙種工業區（工七）事業及財務計畫、土地使用分區管制相關規定案</w:t>
            </w:r>
            <w:r w:rsidRPr="00382B7F">
              <w:rPr>
                <w:rFonts w:eastAsia="標楷體"/>
                <w:sz w:val="26"/>
                <w:szCs w:val="26"/>
              </w:rPr>
              <w:t>」</w:t>
            </w:r>
            <w:r w:rsidR="006400D1" w:rsidRPr="00382B7F">
              <w:rPr>
                <w:rFonts w:eastAsia="標楷體"/>
                <w:sz w:val="26"/>
                <w:szCs w:val="26"/>
              </w:rPr>
              <w:br/>
            </w:r>
            <w:r w:rsidRPr="00382B7F">
              <w:rPr>
                <w:rFonts w:eastAsia="標楷體"/>
                <w:b/>
                <w:sz w:val="26"/>
                <w:szCs w:val="26"/>
              </w:rPr>
              <w:t>公開展覽意見書</w:t>
            </w:r>
          </w:p>
        </w:tc>
      </w:tr>
      <w:tr w:rsidR="00A036BA" w:rsidRPr="00382B7F" w:rsidTr="004A305A">
        <w:trPr>
          <w:trHeight w:val="1400"/>
        </w:trPr>
        <w:tc>
          <w:tcPr>
            <w:tcW w:w="840"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A036BA" w:rsidRPr="00382B7F" w:rsidRDefault="00470BEB">
            <w:pPr>
              <w:pStyle w:val="Standard"/>
              <w:jc w:val="center"/>
              <w:rPr>
                <w:rFonts w:eastAsia="標楷體"/>
                <w:sz w:val="26"/>
                <w:szCs w:val="26"/>
              </w:rPr>
            </w:pPr>
            <w:r w:rsidRPr="00382B7F">
              <w:rPr>
                <w:rFonts w:eastAsia="標楷體"/>
                <w:sz w:val="26"/>
                <w:szCs w:val="26"/>
              </w:rPr>
              <w:t>主</w:t>
            </w:r>
          </w:p>
          <w:p w:rsidR="00A036BA" w:rsidRPr="00382B7F" w:rsidRDefault="00470BEB">
            <w:pPr>
              <w:pStyle w:val="Standard"/>
              <w:jc w:val="center"/>
              <w:rPr>
                <w:rFonts w:eastAsia="標楷體"/>
                <w:sz w:val="26"/>
                <w:szCs w:val="26"/>
              </w:rPr>
            </w:pPr>
            <w:r w:rsidRPr="00382B7F">
              <w:rPr>
                <w:rFonts w:eastAsia="標楷體"/>
                <w:sz w:val="26"/>
                <w:szCs w:val="26"/>
              </w:rPr>
              <w:t>旨</w:t>
            </w:r>
          </w:p>
        </w:tc>
        <w:tc>
          <w:tcPr>
            <w:tcW w:w="831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A036BA" w:rsidRPr="00382B7F" w:rsidRDefault="00A036BA">
            <w:pPr>
              <w:pStyle w:val="Standard"/>
              <w:snapToGrid w:val="0"/>
              <w:rPr>
                <w:rFonts w:eastAsia="標楷體"/>
                <w:sz w:val="26"/>
                <w:szCs w:val="26"/>
              </w:rPr>
            </w:pPr>
          </w:p>
          <w:p w:rsidR="00A036BA" w:rsidRPr="00382B7F" w:rsidRDefault="00A036BA">
            <w:pPr>
              <w:pStyle w:val="Standard"/>
              <w:rPr>
                <w:rFonts w:eastAsia="標楷體"/>
                <w:sz w:val="26"/>
                <w:szCs w:val="26"/>
              </w:rPr>
            </w:pPr>
          </w:p>
        </w:tc>
      </w:tr>
      <w:tr w:rsidR="00A036BA" w:rsidRPr="00382B7F" w:rsidTr="004A305A">
        <w:trPr>
          <w:trHeight w:val="1400"/>
        </w:trPr>
        <w:tc>
          <w:tcPr>
            <w:tcW w:w="840"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A036BA" w:rsidRPr="00382B7F" w:rsidRDefault="00470BEB">
            <w:pPr>
              <w:pStyle w:val="Standard"/>
              <w:jc w:val="center"/>
              <w:rPr>
                <w:rFonts w:eastAsia="標楷體"/>
                <w:sz w:val="26"/>
                <w:szCs w:val="26"/>
              </w:rPr>
            </w:pPr>
            <w:r w:rsidRPr="00382B7F">
              <w:rPr>
                <w:rFonts w:eastAsia="標楷體"/>
                <w:sz w:val="26"/>
                <w:szCs w:val="26"/>
              </w:rPr>
              <w:t>理</w:t>
            </w:r>
          </w:p>
          <w:p w:rsidR="00A036BA" w:rsidRPr="00382B7F" w:rsidRDefault="00470BEB">
            <w:pPr>
              <w:pStyle w:val="Standard"/>
              <w:jc w:val="center"/>
              <w:rPr>
                <w:rFonts w:eastAsia="標楷體"/>
                <w:sz w:val="26"/>
                <w:szCs w:val="26"/>
              </w:rPr>
            </w:pPr>
            <w:r w:rsidRPr="00382B7F">
              <w:rPr>
                <w:rFonts w:eastAsia="標楷體"/>
                <w:sz w:val="26"/>
                <w:szCs w:val="26"/>
              </w:rPr>
              <w:t>由</w:t>
            </w:r>
          </w:p>
        </w:tc>
        <w:tc>
          <w:tcPr>
            <w:tcW w:w="831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A036BA" w:rsidRPr="00382B7F" w:rsidRDefault="00A036BA">
            <w:pPr>
              <w:pStyle w:val="Standard"/>
              <w:snapToGrid w:val="0"/>
              <w:rPr>
                <w:rFonts w:eastAsia="標楷體"/>
                <w:sz w:val="26"/>
                <w:szCs w:val="26"/>
              </w:rPr>
            </w:pPr>
          </w:p>
          <w:p w:rsidR="00A036BA" w:rsidRPr="00382B7F" w:rsidRDefault="00A036BA">
            <w:pPr>
              <w:pStyle w:val="Standard"/>
              <w:rPr>
                <w:rFonts w:eastAsia="標楷體"/>
                <w:sz w:val="26"/>
                <w:szCs w:val="26"/>
              </w:rPr>
            </w:pPr>
          </w:p>
        </w:tc>
      </w:tr>
      <w:tr w:rsidR="00A036BA" w:rsidRPr="00382B7F" w:rsidTr="004A305A">
        <w:trPr>
          <w:trHeight w:val="1400"/>
        </w:trPr>
        <w:tc>
          <w:tcPr>
            <w:tcW w:w="840"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rsidR="00A036BA" w:rsidRPr="00382B7F" w:rsidRDefault="00470BEB">
            <w:pPr>
              <w:pStyle w:val="Standard"/>
              <w:jc w:val="center"/>
              <w:rPr>
                <w:rFonts w:eastAsia="標楷體"/>
                <w:sz w:val="26"/>
                <w:szCs w:val="26"/>
              </w:rPr>
            </w:pPr>
            <w:r w:rsidRPr="00382B7F">
              <w:rPr>
                <w:rFonts w:eastAsia="標楷體"/>
                <w:sz w:val="26"/>
                <w:szCs w:val="26"/>
              </w:rPr>
              <w:t>略圖及補充事項</w:t>
            </w:r>
          </w:p>
        </w:tc>
        <w:tc>
          <w:tcPr>
            <w:tcW w:w="8310"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A036BA" w:rsidRPr="00382B7F" w:rsidRDefault="00A036BA">
            <w:pPr>
              <w:pStyle w:val="Standard"/>
              <w:snapToGrid w:val="0"/>
              <w:rPr>
                <w:rFonts w:eastAsia="標楷體"/>
                <w:sz w:val="26"/>
                <w:szCs w:val="26"/>
              </w:rPr>
            </w:pPr>
          </w:p>
          <w:p w:rsidR="00A036BA" w:rsidRPr="00382B7F" w:rsidRDefault="00A036BA">
            <w:pPr>
              <w:pStyle w:val="Standard"/>
              <w:rPr>
                <w:rFonts w:eastAsia="標楷體"/>
                <w:sz w:val="26"/>
                <w:szCs w:val="26"/>
              </w:rPr>
            </w:pPr>
          </w:p>
        </w:tc>
      </w:tr>
    </w:tbl>
    <w:p w:rsidR="00382B7F" w:rsidRDefault="00470BEB" w:rsidP="004A305A">
      <w:pPr>
        <w:pStyle w:val="Standard"/>
        <w:spacing w:line="300" w:lineRule="atLeast"/>
        <w:ind w:left="1259" w:hanging="539"/>
        <w:jc w:val="right"/>
        <w:rPr>
          <w:rFonts w:eastAsia="標楷體"/>
          <w:szCs w:val="24"/>
        </w:rPr>
      </w:pPr>
      <w:r w:rsidRPr="00382B7F">
        <w:rPr>
          <w:rFonts w:eastAsia="標楷體"/>
          <w:szCs w:val="24"/>
        </w:rPr>
        <w:t>年</w:t>
      </w:r>
      <w:r w:rsidRPr="00382B7F">
        <w:rPr>
          <w:rFonts w:eastAsia="標楷體"/>
          <w:szCs w:val="24"/>
        </w:rPr>
        <w:t xml:space="preserve">     </w:t>
      </w:r>
      <w:r w:rsidRPr="00382B7F">
        <w:rPr>
          <w:rFonts w:eastAsia="標楷體"/>
          <w:szCs w:val="24"/>
        </w:rPr>
        <w:t>月</w:t>
      </w:r>
      <w:r w:rsidRPr="00382B7F">
        <w:rPr>
          <w:rFonts w:eastAsia="標楷體"/>
          <w:szCs w:val="24"/>
        </w:rPr>
        <w:t xml:space="preserve">     </w:t>
      </w:r>
      <w:r w:rsidRPr="00382B7F">
        <w:rPr>
          <w:rFonts w:eastAsia="標楷體"/>
          <w:szCs w:val="24"/>
        </w:rPr>
        <w:t>日</w:t>
      </w:r>
      <w:r w:rsidRPr="00382B7F">
        <w:rPr>
          <w:rFonts w:eastAsia="標楷體"/>
          <w:szCs w:val="24"/>
        </w:rPr>
        <w:t xml:space="preserve">                            </w:t>
      </w:r>
    </w:p>
    <w:p w:rsidR="00382B7F" w:rsidRDefault="00470BEB" w:rsidP="00382B7F">
      <w:pPr>
        <w:pStyle w:val="Standard"/>
        <w:spacing w:line="300" w:lineRule="atLeast"/>
        <w:ind w:left="1259" w:hanging="539"/>
        <w:jc w:val="center"/>
        <w:rPr>
          <w:rFonts w:eastAsia="標楷體"/>
        </w:rPr>
      </w:pPr>
      <w:r w:rsidRPr="00382B7F">
        <w:rPr>
          <w:rFonts w:eastAsia="標楷體"/>
          <w:szCs w:val="24"/>
        </w:rPr>
        <w:t>陳</w:t>
      </w:r>
      <w:r w:rsidRPr="00382B7F">
        <w:rPr>
          <w:rFonts w:eastAsia="標楷體"/>
          <w:szCs w:val="24"/>
        </w:rPr>
        <w:t xml:space="preserve">  </w:t>
      </w:r>
      <w:r w:rsidRPr="00382B7F">
        <w:rPr>
          <w:rFonts w:eastAsia="標楷體"/>
          <w:szCs w:val="24"/>
        </w:rPr>
        <w:t>情</w:t>
      </w:r>
      <w:r w:rsidRPr="00382B7F">
        <w:rPr>
          <w:rFonts w:eastAsia="標楷體"/>
          <w:szCs w:val="24"/>
        </w:rPr>
        <w:t xml:space="preserve">  </w:t>
      </w:r>
      <w:r w:rsidRPr="00382B7F">
        <w:rPr>
          <w:rFonts w:eastAsia="標楷體"/>
          <w:szCs w:val="24"/>
        </w:rPr>
        <w:t>人：</w:t>
      </w:r>
    </w:p>
    <w:p w:rsidR="00382B7F" w:rsidRDefault="00470BEB" w:rsidP="00382B7F">
      <w:pPr>
        <w:pStyle w:val="Standard"/>
        <w:spacing w:line="300" w:lineRule="atLeast"/>
        <w:ind w:left="1259" w:hanging="539"/>
        <w:jc w:val="center"/>
        <w:rPr>
          <w:rFonts w:eastAsia="標楷體"/>
        </w:rPr>
      </w:pPr>
      <w:r w:rsidRPr="00382B7F">
        <w:rPr>
          <w:rFonts w:eastAsia="標楷體"/>
          <w:szCs w:val="24"/>
        </w:rPr>
        <w:t>地</w:t>
      </w:r>
      <w:r w:rsidR="00382B7F">
        <w:rPr>
          <w:rFonts w:eastAsia="標楷體" w:hint="eastAsia"/>
          <w:szCs w:val="24"/>
        </w:rPr>
        <w:t xml:space="preserve">  </w:t>
      </w:r>
      <w:r w:rsidRPr="00382B7F">
        <w:rPr>
          <w:rFonts w:eastAsia="標楷體"/>
          <w:szCs w:val="24"/>
        </w:rPr>
        <w:t xml:space="preserve">      </w:t>
      </w:r>
      <w:r w:rsidRPr="00382B7F">
        <w:rPr>
          <w:rFonts w:eastAsia="標楷體"/>
          <w:szCs w:val="24"/>
        </w:rPr>
        <w:t>址：</w:t>
      </w:r>
    </w:p>
    <w:p w:rsidR="004A305A" w:rsidRDefault="00470BEB" w:rsidP="004A305A">
      <w:pPr>
        <w:pStyle w:val="Standard"/>
        <w:spacing w:line="300" w:lineRule="atLeast"/>
        <w:ind w:left="1259" w:hanging="539"/>
        <w:jc w:val="center"/>
        <w:rPr>
          <w:rFonts w:eastAsia="標楷體"/>
          <w:sz w:val="36"/>
          <w:szCs w:val="36"/>
        </w:rPr>
      </w:pPr>
      <w:r w:rsidRPr="00382B7F">
        <w:rPr>
          <w:rFonts w:eastAsia="標楷體"/>
          <w:szCs w:val="24"/>
        </w:rPr>
        <w:t>電</w:t>
      </w:r>
      <w:r w:rsidR="00382B7F">
        <w:rPr>
          <w:rFonts w:eastAsia="標楷體" w:hint="eastAsia"/>
          <w:szCs w:val="24"/>
        </w:rPr>
        <w:t xml:space="preserve">  </w:t>
      </w:r>
      <w:r w:rsidRPr="00382B7F">
        <w:rPr>
          <w:rFonts w:eastAsia="標楷體"/>
          <w:szCs w:val="24"/>
        </w:rPr>
        <w:t xml:space="preserve">      </w:t>
      </w:r>
      <w:r w:rsidRPr="00382B7F">
        <w:rPr>
          <w:rFonts w:eastAsia="標楷體"/>
          <w:szCs w:val="24"/>
        </w:rPr>
        <w:t>話：</w:t>
      </w:r>
      <w:r w:rsidR="004A305A">
        <w:rPr>
          <w:rFonts w:eastAsia="標楷體"/>
          <w:sz w:val="36"/>
          <w:szCs w:val="36"/>
        </w:rPr>
        <w:br w:type="page"/>
      </w:r>
    </w:p>
    <w:p w:rsidR="00A036BA" w:rsidRPr="00382B7F" w:rsidRDefault="00470BEB" w:rsidP="00B1626F">
      <w:pPr>
        <w:pStyle w:val="Standard"/>
        <w:spacing w:line="300" w:lineRule="atLeast"/>
        <w:jc w:val="center"/>
        <w:rPr>
          <w:rFonts w:eastAsia="標楷體"/>
          <w:sz w:val="36"/>
          <w:szCs w:val="36"/>
        </w:rPr>
      </w:pPr>
      <w:r w:rsidRPr="00382B7F">
        <w:rPr>
          <w:rFonts w:eastAsia="標楷體"/>
          <w:sz w:val="36"/>
          <w:szCs w:val="36"/>
        </w:rPr>
        <w:lastRenderedPageBreak/>
        <w:t>都市計畫變更內容概要</w:t>
      </w:r>
    </w:p>
    <w:p w:rsidR="00A036BA" w:rsidRPr="00382B7F" w:rsidRDefault="00470BEB" w:rsidP="00382B7F">
      <w:pPr>
        <w:pStyle w:val="af9"/>
        <w:rPr>
          <w:rFonts w:eastAsia="標楷體"/>
        </w:rPr>
      </w:pPr>
      <w:r w:rsidRPr="00382B7F">
        <w:rPr>
          <w:rFonts w:eastAsia="標楷體"/>
        </w:rPr>
        <w:t>一、</w:t>
      </w:r>
      <w:r w:rsidR="00B1626F" w:rsidRPr="00382B7F">
        <w:rPr>
          <w:rFonts w:eastAsia="標楷體"/>
        </w:rPr>
        <w:t>計畫</w:t>
      </w:r>
      <w:r w:rsidRPr="00382B7F">
        <w:rPr>
          <w:rFonts w:eastAsia="標楷體"/>
        </w:rPr>
        <w:t>緣起</w:t>
      </w:r>
    </w:p>
    <w:p w:rsidR="00B1626F" w:rsidRPr="00382B7F" w:rsidRDefault="00B1626F" w:rsidP="00382B7F">
      <w:pPr>
        <w:pStyle w:val="afb"/>
        <w:spacing w:before="0" w:after="0" w:line="340" w:lineRule="exact"/>
        <w:ind w:left="600"/>
        <w:rPr>
          <w:rFonts w:eastAsia="標楷體"/>
        </w:rPr>
      </w:pPr>
      <w:r w:rsidRPr="00382B7F">
        <w:rPr>
          <w:rFonts w:eastAsia="標楷體"/>
        </w:rPr>
        <w:t>楠梓加工出口區自民國</w:t>
      </w:r>
      <w:r w:rsidRPr="00382B7F">
        <w:rPr>
          <w:rFonts w:eastAsia="標楷體"/>
        </w:rPr>
        <w:t>58</w:t>
      </w:r>
      <w:r w:rsidRPr="00382B7F">
        <w:rPr>
          <w:rFonts w:eastAsia="標楷體"/>
        </w:rPr>
        <w:t>年設立至今，區內事業家數共計</w:t>
      </w:r>
      <w:r w:rsidRPr="00382B7F">
        <w:rPr>
          <w:rFonts w:eastAsia="標楷體"/>
        </w:rPr>
        <w:t>90</w:t>
      </w:r>
      <w:r w:rsidRPr="00382B7F">
        <w:rPr>
          <w:rFonts w:eastAsia="標楷體"/>
        </w:rPr>
        <w:t>家，每年之營業額超過</w:t>
      </w:r>
      <w:r w:rsidRPr="00382B7F">
        <w:rPr>
          <w:rFonts w:eastAsia="標楷體"/>
        </w:rPr>
        <w:t>3,000</w:t>
      </w:r>
      <w:r w:rsidRPr="00382B7F">
        <w:rPr>
          <w:rFonts w:eastAsia="標楷體"/>
        </w:rPr>
        <w:t>億，員工人數達</w:t>
      </w:r>
      <w:r w:rsidRPr="00382B7F">
        <w:rPr>
          <w:rFonts w:eastAsia="標楷體"/>
        </w:rPr>
        <w:t>4</w:t>
      </w:r>
      <w:r w:rsidRPr="00382B7F">
        <w:rPr>
          <w:rFonts w:eastAsia="標楷體"/>
        </w:rPr>
        <w:t>萬人，無論是營運規模或從業員工數，均名列台灣各加工出口區之首位，其園區現況發展已飽和，土地出租率達</w:t>
      </w:r>
      <w:r w:rsidRPr="00382B7F">
        <w:rPr>
          <w:rFonts w:eastAsia="標楷體"/>
        </w:rPr>
        <w:t>100%</w:t>
      </w:r>
      <w:r w:rsidRPr="00382B7F">
        <w:rPr>
          <w:rFonts w:eastAsia="標楷體"/>
        </w:rPr>
        <w:t>。為增加園區內土地開發強度及容積強度之彈性運用，高雄市政府於民國</w:t>
      </w:r>
      <w:r w:rsidRPr="00382B7F">
        <w:rPr>
          <w:rFonts w:eastAsia="標楷體"/>
        </w:rPr>
        <w:t>94</w:t>
      </w:r>
      <w:r w:rsidRPr="00382B7F">
        <w:rPr>
          <w:rFonts w:eastAsia="標楷體"/>
        </w:rPr>
        <w:t>年以「變更高雄市都市計畫（楠梓加工出口區及中油莒光宏毅新村一帶）細部計畫乙種工業區【工七】容積率及土地使用分區管制相關規定案」修訂乙種工業區（工七）之基準容積率由</w:t>
      </w:r>
      <w:r w:rsidRPr="00382B7F">
        <w:rPr>
          <w:rFonts w:eastAsia="標楷體"/>
        </w:rPr>
        <w:t>300%</w:t>
      </w:r>
      <w:r w:rsidRPr="00382B7F">
        <w:rPr>
          <w:rFonts w:eastAsia="標楷體"/>
        </w:rPr>
        <w:t>提高至</w:t>
      </w:r>
      <w:r w:rsidRPr="00382B7F">
        <w:rPr>
          <w:rFonts w:eastAsia="標楷體"/>
        </w:rPr>
        <w:t>400%</w:t>
      </w:r>
      <w:r w:rsidRPr="00382B7F">
        <w:rPr>
          <w:rFonts w:eastAsia="標楷體"/>
        </w:rPr>
        <w:t>（區內個案建築基地容積率可提高至</w:t>
      </w:r>
      <w:r w:rsidRPr="00382B7F">
        <w:rPr>
          <w:rFonts w:eastAsia="標楷體"/>
        </w:rPr>
        <w:t>490%</w:t>
      </w:r>
      <w:r w:rsidRPr="00382B7F">
        <w:rPr>
          <w:rFonts w:eastAsia="標楷體"/>
        </w:rPr>
        <w:t>），各建築基地申請容積率超過</w:t>
      </w:r>
      <w:r w:rsidRPr="00382B7F">
        <w:rPr>
          <w:rFonts w:eastAsia="標楷體"/>
        </w:rPr>
        <w:t>300%</w:t>
      </w:r>
      <w:r w:rsidRPr="00382B7F">
        <w:rPr>
          <w:rFonts w:eastAsia="標楷體"/>
        </w:rPr>
        <w:t>時，須依負擔規定辦理，並於事業及財務計畫中訂定容積增量及上限計算、代金繳納方式與相關程序規定。</w:t>
      </w:r>
    </w:p>
    <w:p w:rsidR="00B1626F" w:rsidRPr="00382B7F" w:rsidRDefault="00B1626F" w:rsidP="00382B7F">
      <w:pPr>
        <w:pStyle w:val="afb"/>
        <w:spacing w:before="0" w:after="0" w:line="340" w:lineRule="exact"/>
        <w:ind w:left="600"/>
        <w:rPr>
          <w:rFonts w:eastAsia="標楷體"/>
        </w:rPr>
      </w:pPr>
      <w:r w:rsidRPr="00382B7F">
        <w:rPr>
          <w:rFonts w:eastAsia="標楷體"/>
        </w:rPr>
        <w:t>工七南側之加昌路於民國</w:t>
      </w:r>
      <w:r w:rsidRPr="00382B7F">
        <w:rPr>
          <w:rFonts w:eastAsia="標楷體"/>
        </w:rPr>
        <w:t>61</w:t>
      </w:r>
      <w:r w:rsidRPr="00382B7F">
        <w:rPr>
          <w:rFonts w:eastAsia="標楷體"/>
        </w:rPr>
        <w:t>年公告楠梓主要計畫劃設為</w:t>
      </w:r>
      <w:r w:rsidRPr="00382B7F">
        <w:rPr>
          <w:rFonts w:eastAsia="標楷體"/>
        </w:rPr>
        <w:t>40</w:t>
      </w:r>
      <w:r w:rsidRPr="00382B7F">
        <w:rPr>
          <w:rFonts w:eastAsia="標楷體"/>
        </w:rPr>
        <w:t>公尺寬之計畫道路，目前已完成開闢為道路及高捷站體與軌道通行使用，並提供經濟部加工出口區員工通勤使用與公眾通行。其中屬國有土地之部分，高雄市政府與經濟部加工出口區管理處（以下稱加工處）協調決議撥用面積約</w:t>
      </w:r>
      <w:r w:rsidRPr="00382B7F">
        <w:rPr>
          <w:rFonts w:eastAsia="標楷體"/>
        </w:rPr>
        <w:t>8,310</w:t>
      </w:r>
      <w:r w:rsidRPr="00382B7F">
        <w:rPr>
          <w:rFonts w:eastAsia="標楷體"/>
        </w:rPr>
        <w:t>平方公尺，撥用經費約</w:t>
      </w:r>
      <w:r w:rsidRPr="00382B7F">
        <w:rPr>
          <w:rFonts w:eastAsia="標楷體"/>
        </w:rPr>
        <w:t>3.9</w:t>
      </w:r>
      <w:r w:rsidRPr="00382B7F">
        <w:rPr>
          <w:rFonts w:eastAsia="標楷體"/>
        </w:rPr>
        <w:t>億元，應分期編列預算辦理有償撥用，惟市府基於財政拮据，至今尚未提報有償撥用計畫書，故加工處為維護基金權益及確保債權，提請高雄高等行政法院判決。</w:t>
      </w:r>
    </w:p>
    <w:p w:rsidR="00B1626F" w:rsidRPr="00382B7F" w:rsidRDefault="00B1626F" w:rsidP="00382B7F">
      <w:pPr>
        <w:pStyle w:val="afb"/>
        <w:spacing w:before="0" w:after="0" w:line="340" w:lineRule="exact"/>
        <w:ind w:left="600"/>
        <w:rPr>
          <w:rFonts w:eastAsia="標楷體"/>
        </w:rPr>
      </w:pPr>
      <w:r w:rsidRPr="00382B7F">
        <w:rPr>
          <w:rFonts w:eastAsia="標楷體"/>
        </w:rPr>
        <w:t>承上，為解決高雄市政府使用加工處經管國有土地有償撥用及土地使用費問題，</w:t>
      </w:r>
      <w:r w:rsidRPr="00382B7F">
        <w:rPr>
          <w:rFonts w:eastAsia="標楷體"/>
        </w:rPr>
        <w:t>105</w:t>
      </w:r>
      <w:r w:rsidRPr="00382B7F">
        <w:rPr>
          <w:rFonts w:eastAsia="標楷體"/>
        </w:rPr>
        <w:t>年</w:t>
      </w:r>
      <w:r w:rsidRPr="00382B7F">
        <w:rPr>
          <w:rFonts w:eastAsia="標楷體"/>
        </w:rPr>
        <w:t>9</w:t>
      </w:r>
      <w:r w:rsidRPr="00382B7F">
        <w:rPr>
          <w:rFonts w:eastAsia="標楷體"/>
        </w:rPr>
        <w:t>月</w:t>
      </w:r>
      <w:r w:rsidRPr="00382B7F">
        <w:rPr>
          <w:rFonts w:eastAsia="標楷體"/>
        </w:rPr>
        <w:t>26</w:t>
      </w:r>
      <w:r w:rsidRPr="00382B7F">
        <w:rPr>
          <w:rFonts w:eastAsia="標楷體"/>
        </w:rPr>
        <w:t>日經濟部邀高雄市政府共組工作小組，</w:t>
      </w:r>
      <w:proofErr w:type="gramStart"/>
      <w:r w:rsidRPr="00382B7F">
        <w:rPr>
          <w:rFonts w:eastAsia="標楷體"/>
        </w:rPr>
        <w:t>研</w:t>
      </w:r>
      <w:proofErr w:type="gramEnd"/>
      <w:r w:rsidRPr="00382B7F">
        <w:rPr>
          <w:rFonts w:eastAsia="標楷體"/>
        </w:rPr>
        <w:t>提以楠梓加工出口區第一園區作為標的，以都市計畫個案變更</w:t>
      </w:r>
      <w:proofErr w:type="gramStart"/>
      <w:r w:rsidRPr="00382B7F">
        <w:rPr>
          <w:rFonts w:eastAsia="標楷體"/>
        </w:rPr>
        <w:t>採</w:t>
      </w:r>
      <w:proofErr w:type="gramEnd"/>
      <w:r w:rsidRPr="00382B7F">
        <w:rPr>
          <w:rFonts w:eastAsia="標楷體"/>
        </w:rPr>
        <w:t>容積調配方式，支付高雄高等行政法院</w:t>
      </w:r>
      <w:proofErr w:type="gramStart"/>
      <w:r w:rsidRPr="00382B7F">
        <w:rPr>
          <w:rFonts w:eastAsia="標楷體"/>
        </w:rPr>
        <w:t>99</w:t>
      </w:r>
      <w:r w:rsidRPr="00382B7F">
        <w:rPr>
          <w:rFonts w:eastAsia="標楷體"/>
        </w:rPr>
        <w:t>年訴字</w:t>
      </w:r>
      <w:r w:rsidRPr="00382B7F">
        <w:rPr>
          <w:rFonts w:eastAsia="標楷體"/>
        </w:rPr>
        <w:t>516</w:t>
      </w:r>
      <w:r w:rsidRPr="00382B7F">
        <w:rPr>
          <w:rFonts w:eastAsia="標楷體"/>
        </w:rPr>
        <w:t>號</w:t>
      </w:r>
      <w:proofErr w:type="gramEnd"/>
      <w:r w:rsidRPr="00382B7F">
        <w:rPr>
          <w:rFonts w:eastAsia="標楷體"/>
        </w:rPr>
        <w:t>等判決所稱高雄市政府尚未完成土地撥用程序所需之撥用經費及衍生之土地使用費，並依都市計畫法第</w:t>
      </w:r>
      <w:r w:rsidRPr="00382B7F">
        <w:rPr>
          <w:rFonts w:eastAsia="標楷體"/>
        </w:rPr>
        <w:t>27</w:t>
      </w:r>
      <w:r w:rsidRPr="00382B7F">
        <w:rPr>
          <w:rFonts w:eastAsia="標楷體"/>
        </w:rPr>
        <w:t>條之</w:t>
      </w:r>
      <w:r w:rsidRPr="00382B7F">
        <w:rPr>
          <w:rFonts w:eastAsia="標楷體"/>
        </w:rPr>
        <w:t>1</w:t>
      </w:r>
      <w:r w:rsidRPr="00382B7F">
        <w:rPr>
          <w:rFonts w:eastAsia="標楷體"/>
        </w:rPr>
        <w:t>規定，將公共設施用地所有權提供或捐贈予當地地方政府。兩造後於</w:t>
      </w:r>
      <w:r w:rsidRPr="00382B7F">
        <w:rPr>
          <w:rFonts w:eastAsia="標楷體"/>
        </w:rPr>
        <w:t>105</w:t>
      </w:r>
      <w:r w:rsidRPr="00382B7F">
        <w:rPr>
          <w:rFonts w:eastAsia="標楷體"/>
        </w:rPr>
        <w:t>年</w:t>
      </w:r>
      <w:r w:rsidRPr="00382B7F">
        <w:rPr>
          <w:rFonts w:eastAsia="標楷體"/>
        </w:rPr>
        <w:t>12</w:t>
      </w:r>
      <w:r w:rsidRPr="00382B7F">
        <w:rPr>
          <w:rFonts w:eastAsia="標楷體"/>
        </w:rPr>
        <w:t>月</w:t>
      </w:r>
      <w:r w:rsidRPr="00382B7F">
        <w:rPr>
          <w:rFonts w:eastAsia="標楷體"/>
        </w:rPr>
        <w:t>22</w:t>
      </w:r>
      <w:r w:rsidRPr="00382B7F">
        <w:rPr>
          <w:rFonts w:eastAsia="標楷體"/>
        </w:rPr>
        <w:t>日召開工作會議決議訂定容積總量計算方式，應包括法院判決土地使用費及</w:t>
      </w:r>
      <w:r w:rsidRPr="00382B7F">
        <w:rPr>
          <w:rFonts w:eastAsia="標楷體"/>
        </w:rPr>
        <w:t>104</w:t>
      </w:r>
      <w:r w:rsidRPr="00382B7F">
        <w:rPr>
          <w:rFonts w:eastAsia="標楷體"/>
        </w:rPr>
        <w:t>年</w:t>
      </w:r>
      <w:r w:rsidRPr="00382B7F">
        <w:rPr>
          <w:rFonts w:eastAsia="標楷體"/>
        </w:rPr>
        <w:t>1</w:t>
      </w:r>
      <w:r w:rsidRPr="00382B7F">
        <w:rPr>
          <w:rFonts w:eastAsia="標楷體"/>
        </w:rPr>
        <w:t>月</w:t>
      </w:r>
      <w:r w:rsidRPr="00382B7F">
        <w:rPr>
          <w:rFonts w:eastAsia="標楷體"/>
        </w:rPr>
        <w:t>7</w:t>
      </w:r>
      <w:r w:rsidRPr="00382B7F">
        <w:rPr>
          <w:rFonts w:eastAsia="標楷體"/>
        </w:rPr>
        <w:t>日起計算未判決之土地使用費。另</w:t>
      </w:r>
      <w:r w:rsidRPr="00382B7F">
        <w:rPr>
          <w:rFonts w:eastAsia="標楷體"/>
        </w:rPr>
        <w:t>94</w:t>
      </w:r>
      <w:r w:rsidRPr="00382B7F">
        <w:rPr>
          <w:rFonts w:eastAsia="標楷體"/>
        </w:rPr>
        <w:t>年計畫書規定園區內廠商申請容積增量代金繳納分為權利金及年租金兩部分計算，並以其代金總額</w:t>
      </w:r>
      <w:r w:rsidRPr="00382B7F">
        <w:rPr>
          <w:rFonts w:eastAsia="標楷體"/>
        </w:rPr>
        <w:t>1/3</w:t>
      </w:r>
      <w:r w:rsidRPr="00382B7F">
        <w:rPr>
          <w:rFonts w:eastAsia="標楷體"/>
        </w:rPr>
        <w:t>作為權利金（於承租容積時一次收取）、</w:t>
      </w:r>
      <w:r w:rsidRPr="00382B7F">
        <w:rPr>
          <w:rFonts w:eastAsia="標楷體"/>
        </w:rPr>
        <w:t>2/3</w:t>
      </w:r>
      <w:r w:rsidRPr="00382B7F">
        <w:rPr>
          <w:rFonts w:eastAsia="標楷體"/>
        </w:rPr>
        <w:t>為年租金（逐年收取）；由於繳納年期冗長，於執行面易致行政成本增加與管理不便等問題，將透過本次變更一併處理。</w:t>
      </w:r>
    </w:p>
    <w:p w:rsidR="00B1626F" w:rsidRPr="00382B7F" w:rsidRDefault="00902AEA" w:rsidP="00382B7F">
      <w:pPr>
        <w:pStyle w:val="afb"/>
        <w:spacing w:before="0" w:after="0" w:line="340" w:lineRule="exact"/>
        <w:ind w:left="600"/>
        <w:rPr>
          <w:rFonts w:eastAsia="標楷體"/>
          <w:b/>
          <w:sz w:val="28"/>
          <w:szCs w:val="28"/>
        </w:rPr>
      </w:pPr>
      <w:r w:rsidRPr="00902AEA">
        <w:rPr>
          <w:rFonts w:eastAsia="標楷體" w:hint="eastAsia"/>
        </w:rPr>
        <w:t>本次據此辦理修訂「高雄市都市計畫（楠梓加工出口區、後勁及右昌一帶鄰近地區）細部計畫」有關乙種工業區（工七）之事業財務計畫及土地使用分區管制要點相關規定。一為解決高雄市政府使用加工處經管國有土地有償撥用及土地使用費問題，並延續加昌路服務加工區就業人車通行及提供公眾通行價值；二為配合行政院推動「生產力</w:t>
      </w:r>
      <w:r w:rsidRPr="00902AEA">
        <w:rPr>
          <w:rFonts w:eastAsia="標楷體" w:hint="eastAsia"/>
        </w:rPr>
        <w:t>4.0</w:t>
      </w:r>
      <w:r w:rsidRPr="00902AEA">
        <w:rPr>
          <w:rFonts w:eastAsia="標楷體" w:hint="eastAsia"/>
        </w:rPr>
        <w:t>發展方案」之產業發展政策，在既有基礎環境優勢，透過容積調配，提供容積增量予園區彈性使用，以加速產業轉型、廠房更新及重建；三為輔以簡化容積增量申請建築及代金繳納程序，除提升廠商申請容積增量之意願，亦希冀提高產業多元化設置，結合南科高雄園區與屏東加工出口區，發展成為區域創新產業園區龍頭，創造地區產業升級之契機。本案業經內政部</w:t>
      </w:r>
      <w:r w:rsidRPr="00902AEA">
        <w:rPr>
          <w:rFonts w:eastAsia="標楷體" w:hint="eastAsia"/>
        </w:rPr>
        <w:t>106</w:t>
      </w:r>
      <w:r w:rsidRPr="00902AEA">
        <w:rPr>
          <w:rFonts w:eastAsia="標楷體" w:hint="eastAsia"/>
        </w:rPr>
        <w:t>年</w:t>
      </w:r>
      <w:r w:rsidRPr="00902AEA">
        <w:rPr>
          <w:rFonts w:eastAsia="標楷體" w:hint="eastAsia"/>
        </w:rPr>
        <w:t>8</w:t>
      </w:r>
      <w:r w:rsidRPr="00902AEA">
        <w:rPr>
          <w:rFonts w:eastAsia="標楷體" w:hint="eastAsia"/>
        </w:rPr>
        <w:t>月</w:t>
      </w:r>
      <w:r w:rsidRPr="00902AEA">
        <w:rPr>
          <w:rFonts w:eastAsia="標楷體" w:hint="eastAsia"/>
        </w:rPr>
        <w:t>7</w:t>
      </w:r>
      <w:r w:rsidRPr="00902AEA">
        <w:rPr>
          <w:rFonts w:eastAsia="標楷體" w:hint="eastAsia"/>
        </w:rPr>
        <w:t>日內</w:t>
      </w:r>
      <w:proofErr w:type="gramStart"/>
      <w:r w:rsidRPr="00902AEA">
        <w:rPr>
          <w:rFonts w:eastAsia="標楷體" w:hint="eastAsia"/>
        </w:rPr>
        <w:t>授營都字</w:t>
      </w:r>
      <w:proofErr w:type="gramEnd"/>
      <w:r w:rsidRPr="00902AEA">
        <w:rPr>
          <w:rFonts w:eastAsia="標楷體" w:hint="eastAsia"/>
        </w:rPr>
        <w:t>第</w:t>
      </w:r>
      <w:r w:rsidRPr="00902AEA">
        <w:rPr>
          <w:rFonts w:eastAsia="標楷體" w:hint="eastAsia"/>
        </w:rPr>
        <w:t>1060056015</w:t>
      </w:r>
      <w:r w:rsidRPr="00902AEA">
        <w:rPr>
          <w:rFonts w:eastAsia="標楷體" w:hint="eastAsia"/>
        </w:rPr>
        <w:t>號函同意，依都市計畫法第</w:t>
      </w:r>
      <w:r w:rsidRPr="00902AEA">
        <w:rPr>
          <w:rFonts w:eastAsia="標楷體" w:hint="eastAsia"/>
        </w:rPr>
        <w:t>27</w:t>
      </w:r>
      <w:r w:rsidRPr="00902AEA">
        <w:rPr>
          <w:rFonts w:eastAsia="標楷體" w:hint="eastAsia"/>
        </w:rPr>
        <w:t>條第</w:t>
      </w:r>
      <w:r w:rsidRPr="00902AEA">
        <w:rPr>
          <w:rFonts w:eastAsia="標楷體" w:hint="eastAsia"/>
        </w:rPr>
        <w:t>1</w:t>
      </w:r>
      <w:r w:rsidRPr="00902AEA">
        <w:rPr>
          <w:rFonts w:eastAsia="標楷體" w:hint="eastAsia"/>
        </w:rPr>
        <w:t>項第</w:t>
      </w:r>
      <w:r w:rsidRPr="00902AEA">
        <w:rPr>
          <w:rFonts w:eastAsia="標楷體" w:hint="eastAsia"/>
        </w:rPr>
        <w:t>3</w:t>
      </w:r>
      <w:r w:rsidRPr="00902AEA">
        <w:rPr>
          <w:rFonts w:eastAsia="標楷體" w:hint="eastAsia"/>
        </w:rPr>
        <w:t>款規定辦理都市計畫變更。</w:t>
      </w:r>
      <w:r w:rsidR="00B1626F" w:rsidRPr="00382B7F">
        <w:rPr>
          <w:rFonts w:eastAsia="標楷體"/>
          <w:b/>
          <w:sz w:val="28"/>
          <w:szCs w:val="28"/>
        </w:rPr>
        <w:br w:type="page"/>
      </w:r>
    </w:p>
    <w:p w:rsidR="00A036BA" w:rsidRPr="00382B7F" w:rsidRDefault="00470BEB" w:rsidP="00B1626F">
      <w:pPr>
        <w:pStyle w:val="Standard"/>
        <w:snapToGrid w:val="0"/>
        <w:spacing w:line="480" w:lineRule="exact"/>
        <w:jc w:val="both"/>
        <w:rPr>
          <w:rFonts w:eastAsia="標楷體"/>
          <w:b/>
          <w:sz w:val="28"/>
          <w:szCs w:val="28"/>
        </w:rPr>
      </w:pPr>
      <w:r w:rsidRPr="00382B7F">
        <w:rPr>
          <w:rFonts w:eastAsia="標楷體"/>
          <w:b/>
          <w:sz w:val="28"/>
          <w:szCs w:val="28"/>
        </w:rPr>
        <w:lastRenderedPageBreak/>
        <w:t>二、</w:t>
      </w:r>
      <w:r w:rsidR="00B1626F" w:rsidRPr="00382B7F">
        <w:rPr>
          <w:rFonts w:eastAsia="標楷體"/>
          <w:b/>
          <w:sz w:val="28"/>
          <w:szCs w:val="28"/>
        </w:rPr>
        <w:t>計畫</w:t>
      </w:r>
      <w:r w:rsidRPr="00382B7F">
        <w:rPr>
          <w:rFonts w:eastAsia="標楷體"/>
          <w:b/>
          <w:sz w:val="28"/>
          <w:szCs w:val="28"/>
        </w:rPr>
        <w:t>範圍</w:t>
      </w:r>
    </w:p>
    <w:p w:rsidR="00A036BA" w:rsidRPr="00382B7F" w:rsidRDefault="00B1626F" w:rsidP="00382B7F">
      <w:pPr>
        <w:pStyle w:val="afb"/>
        <w:spacing w:before="0" w:after="0" w:line="340" w:lineRule="exact"/>
        <w:ind w:left="600"/>
        <w:rPr>
          <w:rFonts w:eastAsia="標楷體"/>
        </w:rPr>
      </w:pPr>
      <w:r w:rsidRPr="00382B7F">
        <w:rPr>
          <w:rFonts w:eastAsia="標楷體"/>
        </w:rPr>
        <w:t>計畫範圍位於楠梓加工出口區，德民路以南，加昌路以北，</w:t>
      </w:r>
      <w:proofErr w:type="gramStart"/>
      <w:r w:rsidRPr="00382B7F">
        <w:rPr>
          <w:rFonts w:eastAsia="標楷體"/>
        </w:rPr>
        <w:t>西側臨外環西路</w:t>
      </w:r>
      <w:proofErr w:type="gramEnd"/>
      <w:r w:rsidRPr="00382B7F">
        <w:rPr>
          <w:rFonts w:eastAsia="標楷體"/>
        </w:rPr>
        <w:t>、東側臨瑞屏路。都市計畫為「楠梓加工出口區、後勁及右昌一帶鄰近地區細部計畫區」之乙種工業區（工七），面積計</w:t>
      </w:r>
      <w:r w:rsidRPr="00382B7F">
        <w:rPr>
          <w:rFonts w:eastAsia="標楷體"/>
        </w:rPr>
        <w:t>92.45</w:t>
      </w:r>
      <w:r w:rsidRPr="00382B7F">
        <w:rPr>
          <w:rFonts w:eastAsia="標楷體"/>
        </w:rPr>
        <w:t>公頃</w:t>
      </w:r>
      <w:r w:rsidR="004A305A">
        <w:rPr>
          <w:rFonts w:eastAsia="標楷體" w:hint="eastAsia"/>
        </w:rPr>
        <w:t>。</w:t>
      </w:r>
    </w:p>
    <w:p w:rsidR="00B1626F" w:rsidRPr="00382B7F" w:rsidRDefault="00470BEB" w:rsidP="00382B7F">
      <w:pPr>
        <w:pStyle w:val="Standard"/>
        <w:snapToGrid w:val="0"/>
        <w:spacing w:line="480" w:lineRule="exact"/>
        <w:jc w:val="both"/>
        <w:rPr>
          <w:rFonts w:eastAsia="標楷體"/>
          <w:b/>
          <w:sz w:val="28"/>
          <w:szCs w:val="28"/>
        </w:rPr>
      </w:pPr>
      <w:r w:rsidRPr="00382B7F">
        <w:rPr>
          <w:rFonts w:eastAsia="標楷體"/>
          <w:b/>
          <w:sz w:val="28"/>
          <w:szCs w:val="28"/>
        </w:rPr>
        <w:t>三</w:t>
      </w:r>
      <w:r w:rsidR="00B1626F" w:rsidRPr="00382B7F">
        <w:rPr>
          <w:rFonts w:eastAsia="標楷體"/>
          <w:b/>
          <w:sz w:val="28"/>
          <w:szCs w:val="28"/>
        </w:rPr>
        <w:t>、變更</w:t>
      </w:r>
      <w:r w:rsidRPr="00382B7F">
        <w:rPr>
          <w:rFonts w:eastAsia="標楷體"/>
          <w:b/>
          <w:sz w:val="28"/>
          <w:szCs w:val="28"/>
        </w:rPr>
        <w:t>內容</w:t>
      </w:r>
    </w:p>
    <w:p w:rsidR="00B1626F" w:rsidRPr="00382B7F" w:rsidRDefault="00B1626F" w:rsidP="00382B7F">
      <w:pPr>
        <w:pStyle w:val="afb"/>
        <w:spacing w:before="0" w:after="0" w:line="340" w:lineRule="exact"/>
        <w:ind w:left="600"/>
        <w:rPr>
          <w:rFonts w:eastAsia="標楷體"/>
        </w:rPr>
      </w:pPr>
      <w:r w:rsidRPr="00382B7F">
        <w:rPr>
          <w:rFonts w:eastAsia="標楷體"/>
        </w:rPr>
        <w:t>本案變更現行計畫「變更高雄市都市計畫（楠梓加工出口區、後勁及右昌一帶鄰近地區）細部計畫通盤檢討案」之「土地使用分區管制要點」及「事業及財務計畫」相關規定，詳如表</w:t>
      </w:r>
      <w:r w:rsidRPr="00382B7F">
        <w:rPr>
          <w:rFonts w:eastAsia="標楷體"/>
        </w:rPr>
        <w:t>1</w:t>
      </w:r>
      <w:r w:rsidRPr="00382B7F">
        <w:rPr>
          <w:rFonts w:eastAsia="標楷體"/>
        </w:rPr>
        <w:t>所示。</w:t>
      </w:r>
    </w:p>
    <w:p w:rsidR="00B1626F" w:rsidRDefault="00B1626F" w:rsidP="00F902B8">
      <w:pPr>
        <w:pStyle w:val="afd"/>
        <w:spacing w:before="120" w:after="120"/>
        <w:rPr>
          <w:rFonts w:eastAsia="標楷體"/>
        </w:rPr>
      </w:pPr>
      <w:bookmarkStart w:id="0" w:name="_Toc484092181"/>
      <w:bookmarkStart w:id="1" w:name="_Toc484101485"/>
      <w:bookmarkStart w:id="2" w:name="_Toc484178837"/>
      <w:bookmarkStart w:id="3" w:name="_Toc486253211"/>
      <w:bookmarkStart w:id="4" w:name="_Toc486319599"/>
      <w:bookmarkStart w:id="5" w:name="_Toc486319959"/>
      <w:bookmarkStart w:id="6" w:name="_Toc486340138"/>
      <w:bookmarkStart w:id="7" w:name="_Toc487821367"/>
      <w:bookmarkStart w:id="8" w:name="_Toc488916134"/>
      <w:bookmarkStart w:id="9" w:name="_Toc490211249"/>
      <w:bookmarkStart w:id="10" w:name="_Toc490567034"/>
      <w:r w:rsidRPr="00382B7F">
        <w:rPr>
          <w:rFonts w:eastAsia="標楷體"/>
        </w:rPr>
        <w:t>表</w:t>
      </w:r>
      <w:r w:rsidRPr="00382B7F">
        <w:rPr>
          <w:rFonts w:eastAsia="標楷體"/>
        </w:rPr>
        <w:t xml:space="preserve">1  </w:t>
      </w:r>
      <w:r w:rsidRPr="00382B7F">
        <w:rPr>
          <w:rFonts w:eastAsia="標楷體"/>
        </w:rPr>
        <w:t>變更內容綜理表</w:t>
      </w:r>
      <w:bookmarkEnd w:id="0"/>
      <w:bookmarkEnd w:id="1"/>
      <w:bookmarkEnd w:id="2"/>
      <w:bookmarkEnd w:id="3"/>
      <w:bookmarkEnd w:id="4"/>
      <w:bookmarkEnd w:id="5"/>
      <w:bookmarkEnd w:id="6"/>
      <w:bookmarkEnd w:id="7"/>
      <w:bookmarkEnd w:id="8"/>
      <w:bookmarkEnd w:id="9"/>
      <w:bookmarkEnd w:id="10"/>
    </w:p>
    <w:tbl>
      <w:tblPr>
        <w:tblW w:w="5000" w:type="pct"/>
        <w:tblLayout w:type="fixed"/>
        <w:tblCellMar>
          <w:left w:w="28" w:type="dxa"/>
          <w:right w:w="28" w:type="dxa"/>
        </w:tblCellMar>
        <w:tblLook w:val="04A0"/>
      </w:tblPr>
      <w:tblGrid>
        <w:gridCol w:w="516"/>
        <w:gridCol w:w="2334"/>
        <w:gridCol w:w="1109"/>
        <w:gridCol w:w="1111"/>
        <w:gridCol w:w="4624"/>
      </w:tblGrid>
      <w:tr w:rsidR="00382B7F" w:rsidRPr="00382B7F" w:rsidTr="00382B7F">
        <w:trPr>
          <w:trHeight w:val="351"/>
        </w:trPr>
        <w:tc>
          <w:tcPr>
            <w:tcW w:w="266" w:type="pct"/>
            <w:vMerge w:val="restart"/>
            <w:tcBorders>
              <w:top w:val="single" w:sz="4" w:space="0" w:color="auto"/>
              <w:left w:val="single" w:sz="4" w:space="0" w:color="auto"/>
              <w:right w:val="single" w:sz="4" w:space="0" w:color="auto"/>
            </w:tcBorders>
            <w:shd w:val="clear" w:color="auto" w:fill="auto"/>
            <w:noWrap/>
            <w:vAlign w:val="center"/>
            <w:hideMark/>
          </w:tcPr>
          <w:p w:rsidR="00382B7F" w:rsidRPr="00382B7F" w:rsidRDefault="00382B7F" w:rsidP="00382B7F">
            <w:pPr>
              <w:widowControl/>
              <w:suppressAutoHyphens w:val="0"/>
              <w:autoSpaceDN/>
              <w:jc w:val="center"/>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編號</w:t>
            </w:r>
          </w:p>
        </w:tc>
        <w:tc>
          <w:tcPr>
            <w:tcW w:w="1204" w:type="pct"/>
            <w:vMerge w:val="restart"/>
            <w:tcBorders>
              <w:top w:val="single" w:sz="4" w:space="0" w:color="auto"/>
              <w:left w:val="nil"/>
              <w:right w:val="single" w:sz="4" w:space="0" w:color="auto"/>
            </w:tcBorders>
            <w:shd w:val="clear" w:color="auto" w:fill="auto"/>
            <w:noWrap/>
            <w:vAlign w:val="center"/>
            <w:hideMark/>
          </w:tcPr>
          <w:p w:rsidR="00382B7F" w:rsidRPr="00382B7F" w:rsidRDefault="00382B7F" w:rsidP="00382B7F">
            <w:pPr>
              <w:widowControl/>
              <w:suppressAutoHyphens w:val="0"/>
              <w:autoSpaceDN/>
              <w:jc w:val="center"/>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位置</w:t>
            </w:r>
          </w:p>
        </w:tc>
        <w:tc>
          <w:tcPr>
            <w:tcW w:w="1145" w:type="pct"/>
            <w:gridSpan w:val="2"/>
            <w:tcBorders>
              <w:top w:val="single" w:sz="4" w:space="0" w:color="auto"/>
              <w:left w:val="nil"/>
              <w:bottom w:val="single" w:sz="4" w:space="0" w:color="auto"/>
              <w:right w:val="single" w:sz="4" w:space="0" w:color="auto"/>
            </w:tcBorders>
            <w:shd w:val="clear" w:color="auto" w:fill="auto"/>
            <w:noWrap/>
            <w:vAlign w:val="center"/>
            <w:hideMark/>
          </w:tcPr>
          <w:p w:rsidR="00382B7F" w:rsidRPr="00382B7F" w:rsidRDefault="00382B7F" w:rsidP="00382B7F">
            <w:pPr>
              <w:widowControl/>
              <w:suppressAutoHyphens w:val="0"/>
              <w:autoSpaceDN/>
              <w:jc w:val="center"/>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變更內容</w:t>
            </w:r>
          </w:p>
        </w:tc>
        <w:tc>
          <w:tcPr>
            <w:tcW w:w="2385" w:type="pct"/>
            <w:vMerge w:val="restart"/>
            <w:tcBorders>
              <w:top w:val="single" w:sz="4" w:space="0" w:color="auto"/>
              <w:left w:val="nil"/>
              <w:right w:val="single" w:sz="4" w:space="0" w:color="auto"/>
            </w:tcBorders>
            <w:shd w:val="clear" w:color="auto" w:fill="auto"/>
            <w:noWrap/>
            <w:vAlign w:val="center"/>
            <w:hideMark/>
          </w:tcPr>
          <w:p w:rsidR="00382B7F" w:rsidRPr="00382B7F" w:rsidRDefault="00382B7F" w:rsidP="00382B7F">
            <w:pPr>
              <w:widowControl/>
              <w:suppressAutoHyphens w:val="0"/>
              <w:autoSpaceDN/>
              <w:jc w:val="center"/>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變更理由</w:t>
            </w:r>
          </w:p>
        </w:tc>
      </w:tr>
      <w:tr w:rsidR="00382B7F" w:rsidRPr="00382B7F" w:rsidTr="00382B7F">
        <w:trPr>
          <w:trHeight w:val="351"/>
        </w:trPr>
        <w:tc>
          <w:tcPr>
            <w:tcW w:w="266" w:type="pct"/>
            <w:vMerge/>
            <w:tcBorders>
              <w:left w:val="single" w:sz="4" w:space="0" w:color="auto"/>
              <w:bottom w:val="single" w:sz="4" w:space="0" w:color="auto"/>
              <w:right w:val="single" w:sz="4" w:space="0" w:color="auto"/>
            </w:tcBorders>
            <w:shd w:val="clear" w:color="auto" w:fill="auto"/>
            <w:noWrap/>
            <w:vAlign w:val="center"/>
            <w:hideMark/>
          </w:tcPr>
          <w:p w:rsidR="00382B7F" w:rsidRPr="00382B7F" w:rsidRDefault="00382B7F" w:rsidP="00382B7F">
            <w:pPr>
              <w:widowControl/>
              <w:suppressAutoHyphens w:val="0"/>
              <w:autoSpaceDN/>
              <w:jc w:val="center"/>
              <w:textAlignment w:val="auto"/>
              <w:rPr>
                <w:rFonts w:ascii="Times New Roman" w:eastAsia="標楷體" w:hAnsi="Times New Roman" w:cs="Times New Roman"/>
                <w:color w:val="000000"/>
                <w:kern w:val="0"/>
                <w:lang w:bidi="ar-SA"/>
              </w:rPr>
            </w:pPr>
          </w:p>
        </w:tc>
        <w:tc>
          <w:tcPr>
            <w:tcW w:w="1204" w:type="pct"/>
            <w:vMerge/>
            <w:tcBorders>
              <w:left w:val="nil"/>
              <w:bottom w:val="single" w:sz="4" w:space="0" w:color="auto"/>
              <w:right w:val="single" w:sz="4" w:space="0" w:color="auto"/>
            </w:tcBorders>
            <w:shd w:val="clear" w:color="auto" w:fill="auto"/>
            <w:noWrap/>
            <w:vAlign w:val="center"/>
            <w:hideMark/>
          </w:tcPr>
          <w:p w:rsidR="00382B7F" w:rsidRPr="00382B7F" w:rsidRDefault="00382B7F" w:rsidP="00382B7F">
            <w:pPr>
              <w:widowControl/>
              <w:suppressAutoHyphens w:val="0"/>
              <w:autoSpaceDN/>
              <w:jc w:val="center"/>
              <w:textAlignment w:val="auto"/>
              <w:rPr>
                <w:rFonts w:ascii="Times New Roman" w:eastAsia="標楷體" w:hAnsi="Times New Roman" w:cs="Times New Roman"/>
                <w:color w:val="000000"/>
                <w:kern w:val="0"/>
                <w:lang w:bidi="ar-SA"/>
              </w:rPr>
            </w:pPr>
          </w:p>
        </w:tc>
        <w:tc>
          <w:tcPr>
            <w:tcW w:w="572" w:type="pct"/>
            <w:tcBorders>
              <w:top w:val="nil"/>
              <w:left w:val="nil"/>
              <w:bottom w:val="single" w:sz="4" w:space="0" w:color="auto"/>
              <w:right w:val="single" w:sz="4" w:space="0" w:color="auto"/>
            </w:tcBorders>
            <w:shd w:val="clear" w:color="auto" w:fill="auto"/>
            <w:noWrap/>
            <w:vAlign w:val="center"/>
            <w:hideMark/>
          </w:tcPr>
          <w:p w:rsidR="00382B7F" w:rsidRPr="00382B7F" w:rsidRDefault="00382B7F" w:rsidP="00382B7F">
            <w:pPr>
              <w:widowControl/>
              <w:suppressAutoHyphens w:val="0"/>
              <w:autoSpaceDN/>
              <w:jc w:val="center"/>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變更前</w:t>
            </w:r>
          </w:p>
        </w:tc>
        <w:tc>
          <w:tcPr>
            <w:tcW w:w="573" w:type="pct"/>
            <w:tcBorders>
              <w:top w:val="nil"/>
              <w:left w:val="nil"/>
              <w:bottom w:val="single" w:sz="4" w:space="0" w:color="auto"/>
              <w:right w:val="single" w:sz="4" w:space="0" w:color="auto"/>
            </w:tcBorders>
            <w:shd w:val="clear" w:color="auto" w:fill="auto"/>
            <w:noWrap/>
            <w:vAlign w:val="center"/>
            <w:hideMark/>
          </w:tcPr>
          <w:p w:rsidR="00382B7F" w:rsidRPr="00382B7F" w:rsidRDefault="00382B7F" w:rsidP="00382B7F">
            <w:pPr>
              <w:widowControl/>
              <w:suppressAutoHyphens w:val="0"/>
              <w:autoSpaceDN/>
              <w:jc w:val="center"/>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變更後</w:t>
            </w:r>
          </w:p>
        </w:tc>
        <w:tc>
          <w:tcPr>
            <w:tcW w:w="2385" w:type="pct"/>
            <w:vMerge/>
            <w:tcBorders>
              <w:left w:val="nil"/>
              <w:bottom w:val="single" w:sz="4" w:space="0" w:color="auto"/>
              <w:right w:val="single" w:sz="4" w:space="0" w:color="auto"/>
            </w:tcBorders>
            <w:shd w:val="clear" w:color="auto" w:fill="auto"/>
            <w:noWrap/>
            <w:vAlign w:val="center"/>
            <w:hideMark/>
          </w:tcPr>
          <w:p w:rsidR="00382B7F" w:rsidRPr="00382B7F" w:rsidRDefault="00382B7F" w:rsidP="00382B7F">
            <w:pPr>
              <w:widowControl/>
              <w:suppressAutoHyphens w:val="0"/>
              <w:autoSpaceDN/>
              <w:jc w:val="both"/>
              <w:textAlignment w:val="auto"/>
              <w:rPr>
                <w:rFonts w:ascii="Times New Roman" w:eastAsia="標楷體" w:hAnsi="Times New Roman" w:cs="Times New Roman"/>
                <w:color w:val="000000"/>
                <w:kern w:val="0"/>
                <w:lang w:bidi="ar-SA"/>
              </w:rPr>
            </w:pPr>
          </w:p>
        </w:tc>
      </w:tr>
      <w:tr w:rsidR="0010043D" w:rsidRPr="00382B7F" w:rsidTr="007C346E">
        <w:trPr>
          <w:trHeight w:val="2805"/>
        </w:trPr>
        <w:tc>
          <w:tcPr>
            <w:tcW w:w="266" w:type="pct"/>
            <w:tcBorders>
              <w:top w:val="nil"/>
              <w:left w:val="single" w:sz="4" w:space="0" w:color="auto"/>
              <w:bottom w:val="single" w:sz="4" w:space="0" w:color="auto"/>
              <w:right w:val="single" w:sz="4" w:space="0" w:color="auto"/>
            </w:tcBorders>
            <w:shd w:val="clear" w:color="auto" w:fill="auto"/>
            <w:noWrap/>
            <w:hideMark/>
          </w:tcPr>
          <w:p w:rsidR="0010043D" w:rsidRPr="00382B7F" w:rsidRDefault="0010043D" w:rsidP="00382B7F">
            <w:pPr>
              <w:widowControl/>
              <w:suppressAutoHyphens w:val="0"/>
              <w:autoSpaceDN/>
              <w:jc w:val="center"/>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1</w:t>
            </w:r>
          </w:p>
        </w:tc>
        <w:tc>
          <w:tcPr>
            <w:tcW w:w="1204" w:type="pct"/>
            <w:tcBorders>
              <w:top w:val="nil"/>
              <w:left w:val="nil"/>
              <w:bottom w:val="single" w:sz="4" w:space="0" w:color="auto"/>
              <w:right w:val="single" w:sz="4" w:space="0" w:color="auto"/>
            </w:tcBorders>
            <w:shd w:val="clear" w:color="auto" w:fill="auto"/>
            <w:noWrap/>
            <w:hideMark/>
          </w:tcPr>
          <w:p w:rsidR="0010043D" w:rsidRPr="00382B7F" w:rsidRDefault="0010043D" w:rsidP="00382B7F">
            <w:pPr>
              <w:widowControl/>
              <w:suppressAutoHyphens w:val="0"/>
              <w:autoSpaceDN/>
              <w:jc w:val="both"/>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事業及財務計畫【乙種工業區（工七）之變更負擔回饋規定】修訂</w:t>
            </w:r>
          </w:p>
        </w:tc>
        <w:tc>
          <w:tcPr>
            <w:tcW w:w="572" w:type="pct"/>
            <w:tcBorders>
              <w:top w:val="nil"/>
              <w:left w:val="nil"/>
              <w:bottom w:val="single" w:sz="4" w:space="0" w:color="auto"/>
              <w:right w:val="single" w:sz="4" w:space="0" w:color="auto"/>
            </w:tcBorders>
            <w:shd w:val="clear" w:color="auto" w:fill="auto"/>
            <w:noWrap/>
            <w:hideMark/>
          </w:tcPr>
          <w:p w:rsidR="0010043D" w:rsidRPr="00382B7F" w:rsidRDefault="0010043D" w:rsidP="00382B7F">
            <w:pPr>
              <w:widowControl/>
              <w:suppressAutoHyphens w:val="0"/>
              <w:autoSpaceDN/>
              <w:jc w:val="center"/>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已訂定</w:t>
            </w:r>
          </w:p>
        </w:tc>
        <w:tc>
          <w:tcPr>
            <w:tcW w:w="573" w:type="pct"/>
            <w:tcBorders>
              <w:top w:val="nil"/>
              <w:left w:val="nil"/>
              <w:bottom w:val="single" w:sz="4" w:space="0" w:color="auto"/>
              <w:right w:val="single" w:sz="4" w:space="0" w:color="auto"/>
            </w:tcBorders>
            <w:shd w:val="clear" w:color="auto" w:fill="auto"/>
            <w:noWrap/>
            <w:hideMark/>
          </w:tcPr>
          <w:p w:rsidR="0010043D" w:rsidRPr="00382B7F" w:rsidRDefault="0010043D" w:rsidP="00382B7F">
            <w:pPr>
              <w:widowControl/>
              <w:suppressAutoHyphens w:val="0"/>
              <w:autoSpaceDN/>
              <w:jc w:val="center"/>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修訂</w:t>
            </w:r>
          </w:p>
        </w:tc>
        <w:tc>
          <w:tcPr>
            <w:tcW w:w="2385" w:type="pct"/>
            <w:vMerge w:val="restart"/>
            <w:tcBorders>
              <w:top w:val="nil"/>
              <w:left w:val="nil"/>
              <w:right w:val="single" w:sz="4" w:space="0" w:color="auto"/>
            </w:tcBorders>
            <w:shd w:val="clear" w:color="auto" w:fill="auto"/>
            <w:vAlign w:val="center"/>
            <w:hideMark/>
          </w:tcPr>
          <w:p w:rsidR="0010043D" w:rsidRPr="0010043D" w:rsidRDefault="0010043D" w:rsidP="000D6470">
            <w:pPr>
              <w:widowControl/>
              <w:suppressAutoHyphens w:val="0"/>
              <w:autoSpaceDN/>
              <w:ind w:left="240" w:hangingChars="100" w:hanging="240"/>
              <w:jc w:val="both"/>
              <w:textAlignment w:val="auto"/>
              <w:rPr>
                <w:rFonts w:ascii="Times New Roman" w:eastAsia="標楷體" w:hAnsi="Times New Roman" w:cs="Times New Roman"/>
                <w:color w:val="000000"/>
                <w:kern w:val="0"/>
                <w:lang w:bidi="ar-SA"/>
              </w:rPr>
            </w:pPr>
            <w:r w:rsidRPr="0010043D">
              <w:rPr>
                <w:rFonts w:ascii="Times New Roman" w:eastAsia="標楷體" w:hAnsi="Times New Roman" w:cs="Times New Roman" w:hint="eastAsia"/>
                <w:color w:val="000000"/>
                <w:kern w:val="0"/>
                <w:lang w:bidi="ar-SA"/>
              </w:rPr>
              <w:t>1.</w:t>
            </w:r>
            <w:r w:rsidRPr="0010043D">
              <w:rPr>
                <w:rFonts w:ascii="Times New Roman" w:eastAsia="標楷體" w:hAnsi="Times New Roman" w:cs="Times New Roman" w:hint="eastAsia"/>
                <w:color w:val="000000"/>
                <w:kern w:val="0"/>
                <w:lang w:bidi="ar-SA"/>
              </w:rPr>
              <w:t>因應楠梓園區經濟發展需要，且目前周邊已無空地可供未來擴區，</w:t>
            </w:r>
            <w:r w:rsidR="000D6470" w:rsidRPr="000D6470">
              <w:rPr>
                <w:rFonts w:ascii="Times New Roman" w:eastAsia="標楷體" w:hAnsi="Times New Roman" w:cs="Times New Roman" w:hint="eastAsia"/>
                <w:color w:val="000000"/>
                <w:kern w:val="0"/>
                <w:lang w:bidi="ar-SA"/>
              </w:rPr>
              <w:t>加工處實有必要獲得部分容積增量</w:t>
            </w:r>
            <w:r w:rsidRPr="0010043D">
              <w:rPr>
                <w:rFonts w:ascii="Times New Roman" w:eastAsia="標楷體" w:hAnsi="Times New Roman" w:cs="Times New Roman" w:hint="eastAsia"/>
                <w:color w:val="000000"/>
                <w:kern w:val="0"/>
                <w:lang w:bidi="ar-SA"/>
              </w:rPr>
              <w:t>以滿足廠商用地需求，以提供園區容積之彈性使用，提供產業發展優勢之競爭力，加速園區更新轉型及提升區內廠商申請容積增量之需求。</w:t>
            </w:r>
          </w:p>
          <w:p w:rsidR="0010043D" w:rsidRDefault="0010043D" w:rsidP="0010043D">
            <w:pPr>
              <w:widowControl/>
              <w:suppressAutoHyphens w:val="0"/>
              <w:autoSpaceDN/>
              <w:ind w:left="240" w:hangingChars="100" w:hanging="240"/>
              <w:jc w:val="both"/>
              <w:textAlignment w:val="auto"/>
              <w:rPr>
                <w:rFonts w:ascii="Times New Roman" w:eastAsia="標楷體" w:hAnsi="Times New Roman" w:cs="Times New Roman"/>
                <w:color w:val="000000"/>
                <w:kern w:val="0"/>
                <w:lang w:bidi="ar-SA"/>
              </w:rPr>
            </w:pPr>
            <w:r w:rsidRPr="0010043D">
              <w:rPr>
                <w:rFonts w:ascii="Times New Roman" w:eastAsia="標楷體" w:hAnsi="Times New Roman" w:cs="Times New Roman" w:hint="eastAsia"/>
                <w:color w:val="000000"/>
                <w:kern w:val="0"/>
                <w:lang w:bidi="ar-SA"/>
              </w:rPr>
              <w:t>2.</w:t>
            </w:r>
            <w:r w:rsidRPr="0010043D">
              <w:rPr>
                <w:rFonts w:ascii="Times New Roman" w:eastAsia="標楷體" w:hAnsi="Times New Roman" w:cs="Times New Roman" w:hint="eastAsia"/>
                <w:color w:val="000000"/>
                <w:kern w:val="0"/>
                <w:lang w:bidi="ar-SA"/>
              </w:rPr>
              <w:t>高雄市政府為拓寬加昌路建置捷運，依法應有償撥用加昌路之費用尚未支付，經</w:t>
            </w:r>
            <w:r w:rsidRPr="0010043D">
              <w:rPr>
                <w:rFonts w:ascii="Times New Roman" w:eastAsia="標楷體" w:hAnsi="Times New Roman" w:cs="Times New Roman" w:hint="eastAsia"/>
                <w:color w:val="000000"/>
                <w:kern w:val="0"/>
                <w:lang w:bidi="ar-SA"/>
              </w:rPr>
              <w:t>104</w:t>
            </w:r>
            <w:r w:rsidRPr="0010043D">
              <w:rPr>
                <w:rFonts w:ascii="Times New Roman" w:eastAsia="標楷體" w:hAnsi="Times New Roman" w:cs="Times New Roman" w:hint="eastAsia"/>
                <w:color w:val="000000"/>
                <w:kern w:val="0"/>
                <w:lang w:bidi="ar-SA"/>
              </w:rPr>
              <w:t>年行政訴訟於已有明確裁定，高市府應償還</w:t>
            </w:r>
            <w:r w:rsidRPr="0010043D">
              <w:rPr>
                <w:rFonts w:ascii="Times New Roman" w:eastAsia="標楷體" w:hAnsi="Times New Roman" w:cs="Times New Roman" w:hint="eastAsia"/>
                <w:color w:val="000000"/>
                <w:kern w:val="0"/>
                <w:lang w:bidi="ar-SA"/>
              </w:rPr>
              <w:t>8,310</w:t>
            </w:r>
            <w:r w:rsidRPr="0010043D">
              <w:rPr>
                <w:rFonts w:ascii="Times New Roman" w:eastAsia="標楷體" w:hAnsi="Times New Roman" w:cs="Times New Roman" w:hint="eastAsia"/>
                <w:color w:val="000000"/>
                <w:kern w:val="0"/>
                <w:lang w:bidi="ar-SA"/>
              </w:rPr>
              <w:t>平方公尺</w:t>
            </w:r>
            <w:proofErr w:type="gramStart"/>
            <w:r w:rsidRPr="0010043D">
              <w:rPr>
                <w:rFonts w:ascii="Times New Roman" w:eastAsia="標楷體" w:hAnsi="Times New Roman" w:cs="Times New Roman" w:hint="eastAsia"/>
                <w:color w:val="000000"/>
                <w:kern w:val="0"/>
                <w:lang w:bidi="ar-SA"/>
              </w:rPr>
              <w:t>加工處管有</w:t>
            </w:r>
            <w:proofErr w:type="gramEnd"/>
            <w:r w:rsidRPr="0010043D">
              <w:rPr>
                <w:rFonts w:ascii="Times New Roman" w:eastAsia="標楷體" w:hAnsi="Times New Roman" w:cs="Times New Roman" w:hint="eastAsia"/>
                <w:color w:val="000000"/>
                <w:kern w:val="0"/>
                <w:lang w:bidi="ar-SA"/>
              </w:rPr>
              <w:t>之加昌路土地</w:t>
            </w:r>
            <w:r w:rsidRPr="0010043D">
              <w:rPr>
                <w:rFonts w:ascii="Times New Roman" w:eastAsia="標楷體" w:hAnsi="Times New Roman" w:cs="Times New Roman" w:hint="eastAsia"/>
                <w:color w:val="000000"/>
                <w:kern w:val="0"/>
                <w:lang w:bidi="ar-SA"/>
              </w:rPr>
              <w:t>92</w:t>
            </w:r>
            <w:r w:rsidRPr="0010043D">
              <w:rPr>
                <w:rFonts w:ascii="Times New Roman" w:eastAsia="標楷體" w:hAnsi="Times New Roman" w:cs="Times New Roman" w:hint="eastAsia"/>
                <w:color w:val="000000"/>
                <w:kern w:val="0"/>
                <w:lang w:bidi="ar-SA"/>
              </w:rPr>
              <w:t>年至今之土地使用費用。</w:t>
            </w:r>
          </w:p>
          <w:p w:rsidR="0010043D" w:rsidRDefault="0010043D" w:rsidP="0010043D">
            <w:pPr>
              <w:widowControl/>
              <w:suppressAutoHyphens w:val="0"/>
              <w:autoSpaceDN/>
              <w:ind w:leftChars="100" w:left="240"/>
              <w:jc w:val="both"/>
              <w:textAlignment w:val="auto"/>
              <w:rPr>
                <w:rFonts w:ascii="Times New Roman" w:eastAsia="標楷體" w:hAnsi="Times New Roman" w:cs="Times New Roman"/>
                <w:color w:val="000000"/>
                <w:kern w:val="0"/>
                <w:lang w:bidi="ar-SA"/>
              </w:rPr>
            </w:pPr>
            <w:r w:rsidRPr="0010043D">
              <w:rPr>
                <w:rFonts w:ascii="Times New Roman" w:eastAsia="標楷體" w:hAnsi="Times New Roman" w:cs="Times New Roman" w:hint="eastAsia"/>
                <w:color w:val="000000"/>
                <w:kern w:val="0"/>
                <w:lang w:bidi="ar-SA"/>
              </w:rPr>
              <w:t>後經</w:t>
            </w:r>
            <w:r w:rsidRPr="0010043D">
              <w:rPr>
                <w:rFonts w:ascii="Times New Roman" w:eastAsia="標楷體" w:hAnsi="Times New Roman" w:cs="Times New Roman" w:hint="eastAsia"/>
                <w:color w:val="000000"/>
                <w:kern w:val="0"/>
                <w:lang w:bidi="ar-SA"/>
              </w:rPr>
              <w:t>105</w:t>
            </w:r>
            <w:r w:rsidRPr="0010043D">
              <w:rPr>
                <w:rFonts w:ascii="Times New Roman" w:eastAsia="標楷體" w:hAnsi="Times New Roman" w:cs="Times New Roman" w:hint="eastAsia"/>
                <w:color w:val="000000"/>
                <w:kern w:val="0"/>
                <w:lang w:bidi="ar-SA"/>
              </w:rPr>
              <w:t>年</w:t>
            </w:r>
            <w:r w:rsidRPr="0010043D">
              <w:rPr>
                <w:rFonts w:ascii="Times New Roman" w:eastAsia="標楷體" w:hAnsi="Times New Roman" w:cs="Times New Roman" w:hint="eastAsia"/>
                <w:color w:val="000000"/>
                <w:kern w:val="0"/>
                <w:lang w:bidi="ar-SA"/>
              </w:rPr>
              <w:t>9</w:t>
            </w:r>
            <w:r w:rsidRPr="0010043D">
              <w:rPr>
                <w:rFonts w:ascii="Times New Roman" w:eastAsia="標楷體" w:hAnsi="Times New Roman" w:cs="Times New Roman" w:hint="eastAsia"/>
                <w:color w:val="000000"/>
                <w:kern w:val="0"/>
                <w:lang w:bidi="ar-SA"/>
              </w:rPr>
              <w:t>月</w:t>
            </w:r>
            <w:r w:rsidRPr="0010043D">
              <w:rPr>
                <w:rFonts w:ascii="Times New Roman" w:eastAsia="標楷體" w:hAnsi="Times New Roman" w:cs="Times New Roman" w:hint="eastAsia"/>
                <w:color w:val="000000"/>
                <w:kern w:val="0"/>
                <w:lang w:bidi="ar-SA"/>
              </w:rPr>
              <w:t>26</w:t>
            </w:r>
            <w:r w:rsidRPr="0010043D">
              <w:rPr>
                <w:rFonts w:ascii="Times New Roman" w:eastAsia="標楷體" w:hAnsi="Times New Roman" w:cs="Times New Roman" w:hint="eastAsia"/>
                <w:color w:val="000000"/>
                <w:kern w:val="0"/>
                <w:lang w:bidi="ar-SA"/>
              </w:rPr>
              <w:t>日及</w:t>
            </w:r>
            <w:r w:rsidRPr="0010043D">
              <w:rPr>
                <w:rFonts w:ascii="Times New Roman" w:eastAsia="標楷體" w:hAnsi="Times New Roman" w:cs="Times New Roman" w:hint="eastAsia"/>
                <w:color w:val="000000"/>
                <w:kern w:val="0"/>
                <w:lang w:bidi="ar-SA"/>
              </w:rPr>
              <w:t>105</w:t>
            </w:r>
            <w:r w:rsidRPr="0010043D">
              <w:rPr>
                <w:rFonts w:ascii="Times New Roman" w:eastAsia="標楷體" w:hAnsi="Times New Roman" w:cs="Times New Roman" w:hint="eastAsia"/>
                <w:color w:val="000000"/>
                <w:kern w:val="0"/>
                <w:lang w:bidi="ar-SA"/>
              </w:rPr>
              <w:t>年</w:t>
            </w:r>
            <w:r w:rsidRPr="0010043D">
              <w:rPr>
                <w:rFonts w:ascii="Times New Roman" w:eastAsia="標楷體" w:hAnsi="Times New Roman" w:cs="Times New Roman" w:hint="eastAsia"/>
                <w:color w:val="000000"/>
                <w:kern w:val="0"/>
                <w:lang w:bidi="ar-SA"/>
              </w:rPr>
              <w:t>12</w:t>
            </w:r>
            <w:r w:rsidRPr="0010043D">
              <w:rPr>
                <w:rFonts w:ascii="Times New Roman" w:eastAsia="標楷體" w:hAnsi="Times New Roman" w:cs="Times New Roman" w:hint="eastAsia"/>
                <w:color w:val="000000"/>
                <w:kern w:val="0"/>
                <w:lang w:bidi="ar-SA"/>
              </w:rPr>
              <w:t>月</w:t>
            </w:r>
            <w:r w:rsidRPr="0010043D">
              <w:rPr>
                <w:rFonts w:ascii="Times New Roman" w:eastAsia="標楷體" w:hAnsi="Times New Roman" w:cs="Times New Roman" w:hint="eastAsia"/>
                <w:color w:val="000000"/>
                <w:kern w:val="0"/>
                <w:lang w:bidi="ar-SA"/>
              </w:rPr>
              <w:t>12</w:t>
            </w:r>
            <w:r w:rsidRPr="0010043D">
              <w:rPr>
                <w:rFonts w:ascii="Times New Roman" w:eastAsia="標楷體" w:hAnsi="Times New Roman" w:cs="Times New Roman" w:hint="eastAsia"/>
                <w:color w:val="000000"/>
                <w:kern w:val="0"/>
                <w:lang w:bidi="ar-SA"/>
              </w:rPr>
              <w:t>日</w:t>
            </w:r>
            <w:proofErr w:type="gramStart"/>
            <w:r w:rsidRPr="0010043D">
              <w:rPr>
                <w:rFonts w:ascii="Times New Roman" w:eastAsia="標楷體" w:hAnsi="Times New Roman" w:cs="Times New Roman" w:hint="eastAsia"/>
                <w:color w:val="000000"/>
                <w:kern w:val="0"/>
                <w:lang w:bidi="ar-SA"/>
              </w:rPr>
              <w:t>研</w:t>
            </w:r>
            <w:proofErr w:type="gramEnd"/>
            <w:r w:rsidRPr="0010043D">
              <w:rPr>
                <w:rFonts w:ascii="Times New Roman" w:eastAsia="標楷體" w:hAnsi="Times New Roman" w:cs="Times New Roman" w:hint="eastAsia"/>
                <w:color w:val="000000"/>
                <w:kern w:val="0"/>
                <w:lang w:bidi="ar-SA"/>
              </w:rPr>
              <w:t>商會議共識，參考都市計畫容積移轉概念將土地價值經容積調配移入作為楠梓園區乙種工業區之增量容積，並由高雄市政府取得</w:t>
            </w:r>
            <w:r w:rsidRPr="0010043D">
              <w:rPr>
                <w:rFonts w:ascii="Times New Roman" w:eastAsia="標楷體" w:hAnsi="Times New Roman" w:cs="Times New Roman" w:hint="eastAsia"/>
                <w:color w:val="000000"/>
                <w:kern w:val="0"/>
                <w:lang w:bidi="ar-SA"/>
              </w:rPr>
              <w:t>8,310</w:t>
            </w:r>
            <w:r w:rsidRPr="0010043D">
              <w:rPr>
                <w:rFonts w:ascii="Times New Roman" w:eastAsia="標楷體" w:hAnsi="Times New Roman" w:cs="Times New Roman" w:hint="eastAsia"/>
                <w:color w:val="000000"/>
                <w:kern w:val="0"/>
                <w:lang w:bidi="ar-SA"/>
              </w:rPr>
              <w:t>平方公尺之加昌路土地所有權。</w:t>
            </w:r>
          </w:p>
          <w:p w:rsidR="0010043D" w:rsidRPr="0010043D" w:rsidRDefault="0010043D" w:rsidP="0010043D">
            <w:pPr>
              <w:widowControl/>
              <w:suppressAutoHyphens w:val="0"/>
              <w:autoSpaceDN/>
              <w:ind w:left="240" w:hangingChars="100" w:hanging="240"/>
              <w:jc w:val="both"/>
              <w:textAlignment w:val="auto"/>
              <w:rPr>
                <w:rFonts w:ascii="Times New Roman" w:eastAsia="標楷體" w:hAnsi="Times New Roman" w:cs="Times New Roman"/>
                <w:color w:val="000000"/>
                <w:kern w:val="0"/>
                <w:lang w:bidi="ar-SA"/>
              </w:rPr>
            </w:pPr>
            <w:r w:rsidRPr="0010043D">
              <w:rPr>
                <w:rFonts w:ascii="Times New Roman" w:eastAsia="標楷體" w:hAnsi="Times New Roman" w:cs="Times New Roman" w:hint="eastAsia"/>
                <w:color w:val="000000"/>
                <w:kern w:val="0"/>
                <w:lang w:bidi="ar-SA"/>
              </w:rPr>
              <w:t>3.</w:t>
            </w:r>
            <w:r w:rsidRPr="0010043D">
              <w:rPr>
                <w:rFonts w:ascii="Times New Roman" w:eastAsia="標楷體" w:hAnsi="Times New Roman" w:cs="Times New Roman" w:hint="eastAsia"/>
                <w:color w:val="000000"/>
                <w:kern w:val="0"/>
                <w:lang w:bidi="ar-SA"/>
              </w:rPr>
              <w:t>為簡化行政作業及減少人力成本，配合修訂事業財務計畫之容積提升代金繳交方式，參考</w:t>
            </w:r>
            <w:r w:rsidRPr="0010043D">
              <w:rPr>
                <w:rFonts w:ascii="Times New Roman" w:eastAsia="標楷體" w:hAnsi="Times New Roman" w:cs="Times New Roman" w:hint="eastAsia"/>
                <w:color w:val="000000"/>
                <w:kern w:val="0"/>
                <w:lang w:bidi="ar-SA"/>
              </w:rPr>
              <w:t>101</w:t>
            </w:r>
            <w:r w:rsidRPr="0010043D">
              <w:rPr>
                <w:rFonts w:ascii="Times New Roman" w:eastAsia="標楷體" w:hAnsi="Times New Roman" w:cs="Times New Roman" w:hint="eastAsia"/>
                <w:color w:val="000000"/>
                <w:kern w:val="0"/>
                <w:lang w:bidi="ar-SA"/>
              </w:rPr>
              <w:t>年</w:t>
            </w:r>
            <w:r w:rsidRPr="0010043D">
              <w:rPr>
                <w:rFonts w:ascii="Times New Roman" w:eastAsia="標楷體" w:hAnsi="Times New Roman" w:cs="Times New Roman" w:hint="eastAsia"/>
                <w:color w:val="000000"/>
                <w:kern w:val="0"/>
                <w:lang w:bidi="ar-SA"/>
              </w:rPr>
              <w:t>7</w:t>
            </w:r>
            <w:r w:rsidRPr="0010043D">
              <w:rPr>
                <w:rFonts w:ascii="Times New Roman" w:eastAsia="標楷體" w:hAnsi="Times New Roman" w:cs="Times New Roman" w:hint="eastAsia"/>
                <w:color w:val="000000"/>
                <w:kern w:val="0"/>
                <w:lang w:bidi="ar-SA"/>
              </w:rPr>
              <w:t>月</w:t>
            </w:r>
            <w:r w:rsidRPr="0010043D">
              <w:rPr>
                <w:rFonts w:ascii="Times New Roman" w:eastAsia="標楷體" w:hAnsi="Times New Roman" w:cs="Times New Roman" w:hint="eastAsia"/>
                <w:color w:val="000000"/>
                <w:kern w:val="0"/>
                <w:lang w:bidi="ar-SA"/>
              </w:rPr>
              <w:t>9</w:t>
            </w:r>
            <w:r w:rsidRPr="0010043D">
              <w:rPr>
                <w:rFonts w:ascii="Times New Roman" w:eastAsia="標楷體" w:hAnsi="Times New Roman" w:cs="Times New Roman" w:hint="eastAsia"/>
                <w:color w:val="000000"/>
                <w:kern w:val="0"/>
                <w:lang w:bidi="ar-SA"/>
              </w:rPr>
              <w:t>日公告「變更高雄市都市計畫（楠梓加工出口區及中油莒光宏毅新村一帶）部分細部計畫乙種工業區【工八】容積率及土地使用分區管制相關規定案」之繳交方式，修訂代金繳納時機及程序。</w:t>
            </w:r>
          </w:p>
        </w:tc>
      </w:tr>
      <w:tr w:rsidR="0010043D" w:rsidRPr="00382B7F" w:rsidTr="007C346E">
        <w:trPr>
          <w:trHeight w:val="2455"/>
        </w:trPr>
        <w:tc>
          <w:tcPr>
            <w:tcW w:w="266" w:type="pct"/>
            <w:tcBorders>
              <w:top w:val="nil"/>
              <w:left w:val="single" w:sz="4" w:space="0" w:color="auto"/>
              <w:bottom w:val="single" w:sz="4" w:space="0" w:color="auto"/>
              <w:right w:val="single" w:sz="4" w:space="0" w:color="auto"/>
            </w:tcBorders>
            <w:shd w:val="clear" w:color="auto" w:fill="auto"/>
            <w:noWrap/>
            <w:hideMark/>
          </w:tcPr>
          <w:p w:rsidR="0010043D" w:rsidRPr="00382B7F" w:rsidRDefault="0010043D" w:rsidP="00382B7F">
            <w:pPr>
              <w:widowControl/>
              <w:suppressAutoHyphens w:val="0"/>
              <w:autoSpaceDN/>
              <w:jc w:val="center"/>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2</w:t>
            </w:r>
          </w:p>
        </w:tc>
        <w:tc>
          <w:tcPr>
            <w:tcW w:w="1204" w:type="pct"/>
            <w:tcBorders>
              <w:top w:val="nil"/>
              <w:left w:val="nil"/>
              <w:bottom w:val="single" w:sz="4" w:space="0" w:color="auto"/>
              <w:right w:val="single" w:sz="4" w:space="0" w:color="auto"/>
            </w:tcBorders>
            <w:shd w:val="clear" w:color="auto" w:fill="auto"/>
            <w:noWrap/>
            <w:hideMark/>
          </w:tcPr>
          <w:p w:rsidR="0010043D" w:rsidRPr="00382B7F" w:rsidRDefault="0010043D" w:rsidP="00382B7F">
            <w:pPr>
              <w:widowControl/>
              <w:suppressAutoHyphens w:val="0"/>
              <w:autoSpaceDN/>
              <w:jc w:val="both"/>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土地使用分區管制要點【貳、乙種工業區（工七）管制要點】修訂</w:t>
            </w:r>
          </w:p>
        </w:tc>
        <w:tc>
          <w:tcPr>
            <w:tcW w:w="572" w:type="pct"/>
            <w:tcBorders>
              <w:top w:val="nil"/>
              <w:left w:val="nil"/>
              <w:bottom w:val="single" w:sz="4" w:space="0" w:color="auto"/>
              <w:right w:val="single" w:sz="4" w:space="0" w:color="auto"/>
            </w:tcBorders>
            <w:shd w:val="clear" w:color="auto" w:fill="auto"/>
            <w:noWrap/>
            <w:hideMark/>
          </w:tcPr>
          <w:p w:rsidR="0010043D" w:rsidRPr="00382B7F" w:rsidRDefault="0010043D" w:rsidP="00382B7F">
            <w:pPr>
              <w:widowControl/>
              <w:suppressAutoHyphens w:val="0"/>
              <w:autoSpaceDN/>
              <w:jc w:val="center"/>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已訂定</w:t>
            </w:r>
          </w:p>
        </w:tc>
        <w:tc>
          <w:tcPr>
            <w:tcW w:w="573" w:type="pct"/>
            <w:tcBorders>
              <w:top w:val="nil"/>
              <w:left w:val="nil"/>
              <w:bottom w:val="single" w:sz="4" w:space="0" w:color="auto"/>
              <w:right w:val="single" w:sz="4" w:space="0" w:color="auto"/>
            </w:tcBorders>
            <w:shd w:val="clear" w:color="auto" w:fill="auto"/>
            <w:noWrap/>
            <w:hideMark/>
          </w:tcPr>
          <w:p w:rsidR="0010043D" w:rsidRPr="00382B7F" w:rsidRDefault="0010043D" w:rsidP="00382B7F">
            <w:pPr>
              <w:widowControl/>
              <w:suppressAutoHyphens w:val="0"/>
              <w:autoSpaceDN/>
              <w:jc w:val="center"/>
              <w:textAlignment w:val="auto"/>
              <w:rPr>
                <w:rFonts w:ascii="Times New Roman" w:eastAsia="標楷體" w:hAnsi="Times New Roman" w:cs="Times New Roman"/>
                <w:color w:val="000000"/>
                <w:kern w:val="0"/>
                <w:lang w:bidi="ar-SA"/>
              </w:rPr>
            </w:pPr>
            <w:r w:rsidRPr="00382B7F">
              <w:rPr>
                <w:rFonts w:ascii="Times New Roman" w:eastAsia="標楷體" w:hAnsi="Times New Roman" w:cs="Times New Roman"/>
                <w:color w:val="000000"/>
                <w:kern w:val="0"/>
                <w:lang w:bidi="ar-SA"/>
              </w:rPr>
              <w:t>修訂</w:t>
            </w:r>
          </w:p>
        </w:tc>
        <w:tc>
          <w:tcPr>
            <w:tcW w:w="2385" w:type="pct"/>
            <w:vMerge/>
            <w:tcBorders>
              <w:left w:val="nil"/>
              <w:bottom w:val="single" w:sz="4" w:space="0" w:color="auto"/>
              <w:right w:val="single" w:sz="4" w:space="0" w:color="auto"/>
            </w:tcBorders>
            <w:shd w:val="clear" w:color="auto" w:fill="auto"/>
            <w:vAlign w:val="center"/>
            <w:hideMark/>
          </w:tcPr>
          <w:p w:rsidR="0010043D" w:rsidRPr="00382B7F" w:rsidRDefault="0010043D" w:rsidP="00382B7F">
            <w:pPr>
              <w:widowControl/>
              <w:suppressAutoHyphens w:val="0"/>
              <w:autoSpaceDN/>
              <w:jc w:val="both"/>
              <w:textAlignment w:val="auto"/>
              <w:rPr>
                <w:rFonts w:ascii="Times New Roman" w:eastAsia="標楷體" w:hAnsi="Times New Roman" w:cs="Times New Roman"/>
                <w:color w:val="000000"/>
                <w:kern w:val="0"/>
                <w:lang w:bidi="ar-SA"/>
              </w:rPr>
            </w:pPr>
          </w:p>
        </w:tc>
      </w:tr>
    </w:tbl>
    <w:p w:rsidR="00382B7F" w:rsidRPr="00382B7F" w:rsidRDefault="00382B7F" w:rsidP="00F902B8">
      <w:pPr>
        <w:pStyle w:val="afd"/>
        <w:spacing w:before="120" w:after="120"/>
        <w:rPr>
          <w:rFonts w:eastAsia="標楷體"/>
        </w:rPr>
      </w:pPr>
    </w:p>
    <w:p w:rsidR="00382B7F" w:rsidRDefault="00382B7F" w:rsidP="00F902B8">
      <w:pPr>
        <w:pStyle w:val="afd"/>
        <w:spacing w:before="120" w:after="120"/>
        <w:rPr>
          <w:rFonts w:eastAsia="標楷體"/>
        </w:rPr>
      </w:pPr>
    </w:p>
    <w:p w:rsidR="00382B7F" w:rsidRDefault="00382B7F" w:rsidP="00F902B8">
      <w:pPr>
        <w:pStyle w:val="afd"/>
        <w:spacing w:before="120" w:after="120"/>
        <w:rPr>
          <w:rFonts w:eastAsia="標楷體"/>
        </w:rPr>
      </w:pPr>
    </w:p>
    <w:p w:rsidR="000D0811" w:rsidRDefault="000D0811">
      <w:pPr>
        <w:rPr>
          <w:rFonts w:ascii="Times New Roman" w:eastAsia="標楷體" w:hAnsi="Times New Roman" w:cs="Times New Roman"/>
          <w:b/>
          <w:sz w:val="28"/>
          <w:szCs w:val="28"/>
          <w:lang w:bidi="ar-SA"/>
        </w:rPr>
      </w:pPr>
      <w:r>
        <w:rPr>
          <w:rFonts w:eastAsia="標楷體"/>
          <w:b/>
          <w:sz w:val="28"/>
          <w:szCs w:val="28"/>
        </w:rPr>
        <w:br w:type="page"/>
      </w:r>
    </w:p>
    <w:p w:rsidR="00095608" w:rsidRPr="00095608" w:rsidRDefault="00095608" w:rsidP="00095608">
      <w:pPr>
        <w:pStyle w:val="Standard"/>
        <w:snapToGrid w:val="0"/>
        <w:spacing w:line="480" w:lineRule="exact"/>
        <w:jc w:val="both"/>
        <w:rPr>
          <w:rFonts w:eastAsia="標楷體"/>
          <w:b/>
          <w:sz w:val="28"/>
          <w:szCs w:val="28"/>
        </w:rPr>
      </w:pPr>
      <w:bookmarkStart w:id="11" w:name="_Toc484101492"/>
      <w:bookmarkStart w:id="12" w:name="_Toc486253220"/>
      <w:bookmarkStart w:id="13" w:name="_Toc486319608"/>
      <w:bookmarkStart w:id="14" w:name="_Toc486319968"/>
      <w:bookmarkStart w:id="15" w:name="_Toc486340147"/>
      <w:bookmarkStart w:id="16" w:name="_Toc487821559"/>
      <w:bookmarkStart w:id="17" w:name="_Toc487821587"/>
      <w:r>
        <w:rPr>
          <w:rFonts w:eastAsia="標楷體" w:hint="eastAsia"/>
          <w:b/>
          <w:sz w:val="28"/>
          <w:szCs w:val="28"/>
        </w:rPr>
        <w:lastRenderedPageBreak/>
        <w:t>四</w:t>
      </w:r>
      <w:r w:rsidRPr="00095608">
        <w:rPr>
          <w:rFonts w:eastAsia="標楷體"/>
          <w:b/>
          <w:sz w:val="28"/>
          <w:szCs w:val="28"/>
        </w:rPr>
        <w:t>、變更後計畫</w:t>
      </w:r>
      <w:bookmarkEnd w:id="11"/>
      <w:bookmarkEnd w:id="12"/>
      <w:bookmarkEnd w:id="13"/>
      <w:bookmarkEnd w:id="14"/>
      <w:bookmarkEnd w:id="15"/>
      <w:bookmarkEnd w:id="16"/>
      <w:bookmarkEnd w:id="17"/>
    </w:p>
    <w:p w:rsidR="00095608" w:rsidRPr="00D2244C" w:rsidRDefault="00095608" w:rsidP="00095608">
      <w:pPr>
        <w:pStyle w:val="af9"/>
        <w:ind w:leftChars="200" w:left="480" w:firstLine="0"/>
        <w:rPr>
          <w:rFonts w:eastAsia="標楷體"/>
        </w:rPr>
      </w:pPr>
      <w:bookmarkStart w:id="18" w:name="_Toc486253221"/>
      <w:bookmarkStart w:id="19" w:name="_Toc486319609"/>
      <w:bookmarkStart w:id="20" w:name="_Toc486319969"/>
      <w:bookmarkStart w:id="21" w:name="_Toc486340148"/>
      <w:bookmarkStart w:id="22" w:name="_Toc487821560"/>
      <w:bookmarkStart w:id="23" w:name="_Toc487821588"/>
      <w:r>
        <w:rPr>
          <w:rFonts w:eastAsia="標楷體" w:hint="eastAsia"/>
        </w:rPr>
        <w:t>（一）</w:t>
      </w:r>
      <w:r w:rsidR="005A54A2">
        <w:rPr>
          <w:rFonts w:eastAsia="標楷體" w:hint="eastAsia"/>
        </w:rPr>
        <w:t>變更後</w:t>
      </w:r>
      <w:r w:rsidRPr="00D2244C">
        <w:rPr>
          <w:rFonts w:eastAsia="標楷體"/>
        </w:rPr>
        <w:t>事業及財務計畫</w:t>
      </w:r>
      <w:bookmarkEnd w:id="18"/>
      <w:bookmarkEnd w:id="19"/>
      <w:bookmarkEnd w:id="20"/>
      <w:bookmarkEnd w:id="21"/>
      <w:bookmarkEnd w:id="22"/>
      <w:bookmarkEnd w:id="23"/>
    </w:p>
    <w:p w:rsidR="00095608" w:rsidRPr="00D2244C" w:rsidRDefault="00095608" w:rsidP="00095608">
      <w:pPr>
        <w:pStyle w:val="af9"/>
        <w:ind w:leftChars="200" w:left="480" w:firstLine="0"/>
        <w:rPr>
          <w:rFonts w:eastAsia="標楷體"/>
          <w:b w:val="0"/>
        </w:rPr>
      </w:pPr>
      <w:r w:rsidRPr="00D2244C">
        <w:rPr>
          <w:rFonts w:eastAsia="標楷體"/>
          <w:b w:val="0"/>
        </w:rPr>
        <w:t>【</w:t>
      </w:r>
      <w:r w:rsidR="0010043D">
        <w:rPr>
          <w:rFonts w:eastAsia="標楷體" w:hint="eastAsia"/>
          <w:b w:val="0"/>
        </w:rPr>
        <w:t>一、</w:t>
      </w:r>
      <w:r w:rsidRPr="00D2244C">
        <w:rPr>
          <w:rFonts w:eastAsia="標楷體"/>
          <w:b w:val="0"/>
        </w:rPr>
        <w:t>乙種工業區（工七）之變更負擔回饋規定】</w:t>
      </w:r>
    </w:p>
    <w:p w:rsidR="00095608" w:rsidRPr="00D2244C" w:rsidRDefault="00095608" w:rsidP="00095608">
      <w:pPr>
        <w:pStyle w:val="aff2"/>
        <w:ind w:leftChars="300" w:left="720" w:firstLineChars="0" w:firstLine="0"/>
        <w:rPr>
          <w:rFonts w:eastAsia="標楷體" w:cs="Times New Roman"/>
        </w:rPr>
      </w:pPr>
      <w:r>
        <w:rPr>
          <w:rFonts w:eastAsia="標楷體" w:cs="Times New Roman" w:hint="eastAsia"/>
        </w:rPr>
        <w:t>1</w:t>
      </w:r>
      <w:r>
        <w:rPr>
          <w:rFonts w:eastAsia="標楷體" w:cs="Times New Roman"/>
        </w:rPr>
        <w:t xml:space="preserve">. </w:t>
      </w:r>
      <w:r w:rsidRPr="00D2244C">
        <w:rPr>
          <w:rFonts w:eastAsia="標楷體" w:cs="Times New Roman"/>
        </w:rPr>
        <w:t>容積增量計算方式</w:t>
      </w:r>
    </w:p>
    <w:p w:rsidR="00931CCB" w:rsidRPr="00931CCB" w:rsidRDefault="00931CCB" w:rsidP="00931CCB">
      <w:pPr>
        <w:pStyle w:val="aff4"/>
        <w:ind w:leftChars="400" w:left="960" w:firstLineChars="200" w:firstLine="492"/>
        <w:rPr>
          <w:rFonts w:eastAsia="標楷體"/>
        </w:rPr>
      </w:pPr>
      <w:r w:rsidRPr="00931CCB">
        <w:rPr>
          <w:rFonts w:eastAsia="標楷體" w:hint="eastAsia"/>
        </w:rPr>
        <w:t>楠梓加工出口區全區係屬乙種工業區，因考量園區完整性及未來發展規劃彈性，園區內並未劃設細部計畫公共設施用地。另依據一般都市計畫公共設施劃設比例、楠梓加工出口區使用現況及楠梓加工出口區管理處陳報行政院核定之綱要計畫，區內公共設施面積以</w:t>
      </w:r>
      <w:proofErr w:type="gramStart"/>
      <w:r w:rsidRPr="00931CCB">
        <w:rPr>
          <w:rFonts w:eastAsia="標楷體" w:hint="eastAsia"/>
        </w:rPr>
        <w:t>佔</w:t>
      </w:r>
      <w:proofErr w:type="gramEnd"/>
      <w:r w:rsidRPr="00931CCB">
        <w:rPr>
          <w:rFonts w:eastAsia="標楷體" w:hint="eastAsia"/>
        </w:rPr>
        <w:t>全區面積</w:t>
      </w:r>
      <w:r w:rsidRPr="00931CCB">
        <w:rPr>
          <w:rFonts w:eastAsia="標楷體" w:hint="eastAsia"/>
        </w:rPr>
        <w:t>25%</w:t>
      </w:r>
      <w:r w:rsidRPr="00931CCB">
        <w:rPr>
          <w:rFonts w:eastAsia="標楷體" w:hint="eastAsia"/>
        </w:rPr>
        <w:t>計算，故本案容積率提升至</w:t>
      </w:r>
      <w:r w:rsidRPr="00931CCB">
        <w:rPr>
          <w:rFonts w:eastAsia="標楷體" w:hint="eastAsia"/>
        </w:rPr>
        <w:t>400%</w:t>
      </w:r>
      <w:r w:rsidRPr="00931CCB">
        <w:rPr>
          <w:rFonts w:eastAsia="標楷體" w:hint="eastAsia"/>
        </w:rPr>
        <w:t>之增量容積總和計算如下：</w:t>
      </w:r>
    </w:p>
    <w:p w:rsidR="00931CCB" w:rsidRPr="00931CCB" w:rsidRDefault="00931CCB" w:rsidP="00931CCB">
      <w:pPr>
        <w:pStyle w:val="aff4"/>
        <w:ind w:leftChars="400" w:left="960" w:firstLineChars="200" w:firstLine="492"/>
        <w:rPr>
          <w:rFonts w:eastAsia="標楷體"/>
        </w:rPr>
      </w:pPr>
      <w:proofErr w:type="gramStart"/>
      <w:r w:rsidRPr="00931CCB">
        <w:rPr>
          <w:rFonts w:eastAsia="標楷體" w:hint="eastAsia"/>
        </w:rPr>
        <w:t>（</w:t>
      </w:r>
      <w:proofErr w:type="gramEnd"/>
      <w:r w:rsidRPr="00931CCB">
        <w:rPr>
          <w:rFonts w:eastAsia="標楷體" w:hint="eastAsia"/>
        </w:rPr>
        <w:t>楠梓加工出口區都市計畫面積</w:t>
      </w:r>
      <w:proofErr w:type="gramStart"/>
      <w:r w:rsidRPr="00931CCB">
        <w:rPr>
          <w:rFonts w:eastAsia="標楷體" w:hint="eastAsia"/>
        </w:rPr>
        <w:t>（</w:t>
      </w:r>
      <w:proofErr w:type="gramEnd"/>
      <w:r w:rsidRPr="00931CCB">
        <w:rPr>
          <w:rFonts w:eastAsia="標楷體" w:hint="eastAsia"/>
        </w:rPr>
        <w:t>乙種工業區</w:t>
      </w:r>
      <w:proofErr w:type="gramStart"/>
      <w:r w:rsidRPr="00931CCB">
        <w:rPr>
          <w:rFonts w:eastAsia="標楷體" w:hint="eastAsia"/>
        </w:rPr>
        <w:t>）</w:t>
      </w:r>
      <w:proofErr w:type="gramEnd"/>
      <w:r w:rsidRPr="00931CCB">
        <w:rPr>
          <w:rFonts w:eastAsia="標楷體" w:hint="eastAsia"/>
        </w:rPr>
        <w:t>×（</w:t>
      </w:r>
      <w:r w:rsidRPr="00931CCB">
        <w:rPr>
          <w:rFonts w:eastAsia="標楷體" w:hint="eastAsia"/>
        </w:rPr>
        <w:t>1</w:t>
      </w:r>
      <w:r w:rsidRPr="00931CCB">
        <w:rPr>
          <w:rFonts w:eastAsia="標楷體" w:hint="eastAsia"/>
        </w:rPr>
        <w:t>－</w:t>
      </w:r>
      <w:r w:rsidRPr="00931CCB">
        <w:rPr>
          <w:rFonts w:eastAsia="標楷體" w:hint="eastAsia"/>
        </w:rPr>
        <w:t>25%</w:t>
      </w:r>
      <w:r w:rsidRPr="00931CCB">
        <w:rPr>
          <w:rFonts w:eastAsia="標楷體" w:hint="eastAsia"/>
        </w:rPr>
        <w:t>）</w:t>
      </w:r>
      <w:proofErr w:type="gramStart"/>
      <w:r w:rsidRPr="00931CCB">
        <w:rPr>
          <w:rFonts w:eastAsia="標楷體" w:hint="eastAsia"/>
        </w:rPr>
        <w:t>）</w:t>
      </w:r>
      <w:proofErr w:type="gramEnd"/>
      <w:r w:rsidRPr="00931CCB">
        <w:rPr>
          <w:rFonts w:eastAsia="標楷體" w:hint="eastAsia"/>
        </w:rPr>
        <w:t>×</w:t>
      </w:r>
      <w:r w:rsidRPr="00931CCB">
        <w:rPr>
          <w:rFonts w:eastAsia="標楷體" w:hint="eastAsia"/>
        </w:rPr>
        <w:t>100%</w:t>
      </w:r>
    </w:p>
    <w:p w:rsidR="00931CCB" w:rsidRDefault="00931CCB" w:rsidP="00931CCB">
      <w:pPr>
        <w:pStyle w:val="aff4"/>
        <w:ind w:leftChars="400" w:left="960" w:firstLineChars="200" w:firstLine="492"/>
        <w:rPr>
          <w:rFonts w:eastAsia="標楷體"/>
        </w:rPr>
      </w:pPr>
      <w:r w:rsidRPr="00931CCB">
        <w:rPr>
          <w:rFonts w:eastAsia="標楷體" w:hint="eastAsia"/>
        </w:rPr>
        <w:t>總容積增量應回饋負擔部分，經由容積調配取得之</w:t>
      </w:r>
      <w:r w:rsidRPr="00931CCB">
        <w:rPr>
          <w:rFonts w:eastAsia="標楷體" w:hint="eastAsia"/>
        </w:rPr>
        <w:t>132,736</w:t>
      </w:r>
      <w:r w:rsidRPr="00931CCB">
        <w:rPr>
          <w:rFonts w:eastAsia="標楷體" w:hint="eastAsia"/>
        </w:rPr>
        <w:t>平方公尺增量容積，應優先依前揭規定之代金計算方式</w:t>
      </w:r>
      <w:proofErr w:type="gramStart"/>
      <w:r w:rsidRPr="00931CCB">
        <w:rPr>
          <w:rFonts w:eastAsia="標楷體" w:hint="eastAsia"/>
        </w:rPr>
        <w:t>抵繳予經濟部加工出口區管理處</w:t>
      </w:r>
      <w:proofErr w:type="gramEnd"/>
      <w:r w:rsidRPr="00931CCB">
        <w:rPr>
          <w:rFonts w:eastAsia="標楷體" w:hint="eastAsia"/>
        </w:rPr>
        <w:t>，</w:t>
      </w:r>
      <w:proofErr w:type="gramStart"/>
      <w:r w:rsidRPr="00931CCB">
        <w:rPr>
          <w:rFonts w:eastAsia="標楷體" w:hint="eastAsia"/>
        </w:rPr>
        <w:t>俟</w:t>
      </w:r>
      <w:proofErr w:type="gramEnd"/>
      <w:r w:rsidRPr="00931CCB">
        <w:rPr>
          <w:rFonts w:eastAsia="標楷體" w:hint="eastAsia"/>
        </w:rPr>
        <w:t>代金</w:t>
      </w:r>
      <w:proofErr w:type="gramStart"/>
      <w:r w:rsidRPr="00931CCB">
        <w:rPr>
          <w:rFonts w:eastAsia="標楷體" w:hint="eastAsia"/>
        </w:rPr>
        <w:t>抵繳用罄</w:t>
      </w:r>
      <w:proofErr w:type="gramEnd"/>
      <w:r w:rsidRPr="00931CCB">
        <w:rPr>
          <w:rFonts w:eastAsia="標楷體" w:hint="eastAsia"/>
        </w:rPr>
        <w:t>後，剩餘之增量容積則依都市計畫法第</w:t>
      </w:r>
      <w:r w:rsidRPr="00931CCB">
        <w:rPr>
          <w:rFonts w:eastAsia="標楷體" w:hint="eastAsia"/>
        </w:rPr>
        <w:t>27</w:t>
      </w:r>
      <w:r w:rsidRPr="00931CCB">
        <w:rPr>
          <w:rFonts w:eastAsia="標楷體" w:hint="eastAsia"/>
        </w:rPr>
        <w:t>條之</w:t>
      </w:r>
      <w:r w:rsidRPr="00931CCB">
        <w:rPr>
          <w:rFonts w:eastAsia="標楷體" w:hint="eastAsia"/>
        </w:rPr>
        <w:t>1</w:t>
      </w:r>
      <w:r w:rsidRPr="00931CCB">
        <w:rPr>
          <w:rFonts w:eastAsia="標楷體" w:hint="eastAsia"/>
        </w:rPr>
        <w:t>規定，除</w:t>
      </w:r>
      <w:proofErr w:type="gramStart"/>
      <w:r w:rsidRPr="00931CCB">
        <w:rPr>
          <w:rFonts w:eastAsia="標楷體" w:hint="eastAsia"/>
        </w:rPr>
        <w:t>採</w:t>
      </w:r>
      <w:proofErr w:type="gramEnd"/>
      <w:r w:rsidRPr="00931CCB">
        <w:rPr>
          <w:rFonts w:eastAsia="標楷體" w:hint="eastAsia"/>
        </w:rPr>
        <w:t>繳納代金方式予高雄市政府外，得以捐贈公共設施用地方式辦理。</w:t>
      </w:r>
    </w:p>
    <w:p w:rsidR="00095608" w:rsidRPr="00D2244C" w:rsidRDefault="00095608" w:rsidP="00095608">
      <w:pPr>
        <w:pStyle w:val="aff2"/>
        <w:ind w:leftChars="300" w:left="720" w:firstLineChars="0" w:firstLine="0"/>
        <w:rPr>
          <w:rFonts w:eastAsia="標楷體" w:cs="Times New Roman"/>
        </w:rPr>
      </w:pPr>
      <w:r>
        <w:rPr>
          <w:rFonts w:eastAsia="標楷體" w:cs="Times New Roman"/>
        </w:rPr>
        <w:t xml:space="preserve">2. </w:t>
      </w:r>
      <w:r w:rsidRPr="00D2244C">
        <w:rPr>
          <w:rFonts w:eastAsia="標楷體" w:cs="Times New Roman"/>
        </w:rPr>
        <w:t>變更負擔計算方式</w:t>
      </w:r>
    </w:p>
    <w:p w:rsidR="00095608" w:rsidRPr="00D2244C" w:rsidRDefault="00095608" w:rsidP="00095608">
      <w:pPr>
        <w:pStyle w:val="1"/>
        <w:spacing w:after="0" w:line="400" w:lineRule="exact"/>
        <w:ind w:leftChars="400" w:left="960" w:firstLineChars="0" w:firstLine="0"/>
        <w:rPr>
          <w:rFonts w:eastAsia="標楷體" w:cs="Times New Roman"/>
        </w:rPr>
      </w:pPr>
      <w:r>
        <w:rPr>
          <w:rFonts w:eastAsia="標楷體" w:cs="Times New Roman" w:hint="eastAsia"/>
        </w:rPr>
        <w:t>（</w:t>
      </w:r>
      <w:r>
        <w:rPr>
          <w:rFonts w:eastAsia="標楷體" w:cs="Times New Roman" w:hint="eastAsia"/>
        </w:rPr>
        <w:t>1</w:t>
      </w:r>
      <w:r>
        <w:rPr>
          <w:rFonts w:eastAsia="標楷體" w:cs="Times New Roman" w:hint="eastAsia"/>
        </w:rPr>
        <w:t>）</w:t>
      </w:r>
      <w:r w:rsidRPr="00D2244C">
        <w:rPr>
          <w:rFonts w:eastAsia="標楷體" w:cs="Times New Roman"/>
        </w:rPr>
        <w:t>法令依據及變更負擔方式訂定原則</w:t>
      </w:r>
    </w:p>
    <w:p w:rsidR="00095608" w:rsidRPr="00D2244C" w:rsidRDefault="00095608" w:rsidP="00095608">
      <w:pPr>
        <w:pStyle w:val="11"/>
        <w:ind w:leftChars="600" w:left="1764" w:hangingChars="135" w:hanging="324"/>
        <w:rPr>
          <w:rFonts w:eastAsia="標楷體"/>
          <w:b w:val="0"/>
        </w:rPr>
      </w:pPr>
      <w:r>
        <w:rPr>
          <w:rFonts w:eastAsia="標楷體"/>
          <w:b w:val="0"/>
        </w:rPr>
        <w:t xml:space="preserve">A. </w:t>
      </w:r>
      <w:r w:rsidRPr="00D2244C">
        <w:rPr>
          <w:rFonts w:eastAsia="標楷體"/>
          <w:b w:val="0"/>
        </w:rPr>
        <w:t>容積率提高變更之負擔，依都市計畫法第</w:t>
      </w:r>
      <w:r w:rsidRPr="00D2244C">
        <w:rPr>
          <w:rFonts w:eastAsia="標楷體"/>
          <w:b w:val="0"/>
        </w:rPr>
        <w:t>27</w:t>
      </w:r>
      <w:r w:rsidRPr="00D2244C">
        <w:rPr>
          <w:rFonts w:eastAsia="標楷體"/>
          <w:b w:val="0"/>
        </w:rPr>
        <w:t>條之</w:t>
      </w:r>
      <w:r w:rsidRPr="00D2244C">
        <w:rPr>
          <w:rFonts w:eastAsia="標楷體"/>
          <w:b w:val="0"/>
        </w:rPr>
        <w:t>1</w:t>
      </w:r>
      <w:r w:rsidRPr="00D2244C">
        <w:rPr>
          <w:rFonts w:eastAsia="標楷體"/>
          <w:b w:val="0"/>
        </w:rPr>
        <w:t>規定，主管機關得要求土地權利關係人提供或捐贈都市計畫變更範圍內之公共設施用地、可建築土地、樓地板面積或一定金額予當地直轄市、縣（市）政府。因乙種工業區（工七）無法提供或捐贈公共設施用地、可建築土地、樓地板面積，故</w:t>
      </w:r>
      <w:proofErr w:type="gramStart"/>
      <w:r w:rsidRPr="00D2244C">
        <w:rPr>
          <w:rFonts w:eastAsia="標楷體"/>
          <w:b w:val="0"/>
        </w:rPr>
        <w:t>採</w:t>
      </w:r>
      <w:proofErr w:type="gramEnd"/>
      <w:r w:rsidRPr="00D2244C">
        <w:rPr>
          <w:rFonts w:eastAsia="標楷體"/>
          <w:b w:val="0"/>
        </w:rPr>
        <w:t>以繳納代金方式辦理。</w:t>
      </w:r>
    </w:p>
    <w:p w:rsidR="00095608" w:rsidRDefault="00095608" w:rsidP="00095608">
      <w:pPr>
        <w:pStyle w:val="11"/>
        <w:ind w:leftChars="600" w:left="1764" w:hangingChars="135" w:hanging="324"/>
        <w:rPr>
          <w:rFonts w:eastAsia="標楷體"/>
          <w:b w:val="0"/>
        </w:rPr>
      </w:pPr>
      <w:r>
        <w:rPr>
          <w:rFonts w:eastAsia="標楷體" w:hint="eastAsia"/>
          <w:b w:val="0"/>
        </w:rPr>
        <w:t>B</w:t>
      </w:r>
      <w:r>
        <w:rPr>
          <w:rFonts w:eastAsia="標楷體"/>
          <w:b w:val="0"/>
        </w:rPr>
        <w:t xml:space="preserve">. </w:t>
      </w:r>
      <w:r w:rsidRPr="00D2244C">
        <w:rPr>
          <w:rFonts w:eastAsia="標楷體"/>
          <w:b w:val="0"/>
        </w:rPr>
        <w:t>代金收取方式分為二筆權利金計算，並以其代金總額</w:t>
      </w:r>
      <w:r w:rsidRPr="00D2244C">
        <w:rPr>
          <w:rFonts w:eastAsia="標楷體"/>
          <w:b w:val="0"/>
        </w:rPr>
        <w:t>1/2</w:t>
      </w:r>
      <w:r w:rsidRPr="00D2244C">
        <w:rPr>
          <w:rFonts w:eastAsia="標楷體"/>
          <w:b w:val="0"/>
        </w:rPr>
        <w:t>作為首筆權利金（容積</w:t>
      </w:r>
      <w:r>
        <w:rPr>
          <w:rFonts w:eastAsia="標楷體"/>
          <w:b w:val="0"/>
        </w:rPr>
        <w:t>提升</w:t>
      </w:r>
      <w:r w:rsidRPr="00D2244C">
        <w:rPr>
          <w:rFonts w:eastAsia="標楷體"/>
          <w:b w:val="0"/>
        </w:rPr>
        <w:t>請領建築執照或變更使用執照時繳納）、</w:t>
      </w:r>
      <w:r w:rsidRPr="00D2244C">
        <w:rPr>
          <w:rFonts w:eastAsia="標楷體"/>
          <w:b w:val="0"/>
        </w:rPr>
        <w:t>1/2</w:t>
      </w:r>
      <w:r w:rsidRPr="00D2244C">
        <w:rPr>
          <w:rFonts w:eastAsia="標楷體"/>
          <w:b w:val="0"/>
        </w:rPr>
        <w:t>為次筆權利金（請領使用執照時繳納）。</w:t>
      </w:r>
    </w:p>
    <w:p w:rsidR="00095608" w:rsidRPr="00D2244C" w:rsidRDefault="00095608" w:rsidP="00095608">
      <w:pPr>
        <w:pStyle w:val="1"/>
        <w:spacing w:after="0" w:line="400" w:lineRule="exact"/>
        <w:ind w:leftChars="400" w:left="960" w:firstLineChars="0" w:firstLine="0"/>
        <w:rPr>
          <w:rFonts w:eastAsia="標楷體" w:cs="Times New Roman"/>
        </w:rPr>
      </w:pPr>
      <w:r>
        <w:rPr>
          <w:rFonts w:eastAsia="標楷體" w:cs="Times New Roman" w:hint="eastAsia"/>
        </w:rPr>
        <w:t>（</w:t>
      </w:r>
      <w:r>
        <w:rPr>
          <w:rFonts w:eastAsia="標楷體" w:cs="Times New Roman" w:hint="eastAsia"/>
        </w:rPr>
        <w:t>2</w:t>
      </w:r>
      <w:r>
        <w:rPr>
          <w:rFonts w:eastAsia="標楷體" w:cs="Times New Roman" w:hint="eastAsia"/>
        </w:rPr>
        <w:t>）</w:t>
      </w:r>
      <w:r w:rsidRPr="00D2244C">
        <w:rPr>
          <w:rFonts w:eastAsia="標楷體" w:cs="Times New Roman"/>
        </w:rPr>
        <w:t>回饋負擔計算及代金繳納方式、程序</w:t>
      </w:r>
    </w:p>
    <w:p w:rsidR="00095608" w:rsidRPr="00D2244C" w:rsidRDefault="00095608" w:rsidP="00095608">
      <w:pPr>
        <w:pStyle w:val="11"/>
        <w:ind w:leftChars="600" w:left="1764" w:hangingChars="135" w:hanging="324"/>
        <w:rPr>
          <w:rFonts w:eastAsia="標楷體"/>
          <w:b w:val="0"/>
        </w:rPr>
      </w:pPr>
      <w:r>
        <w:rPr>
          <w:rFonts w:eastAsia="標楷體"/>
          <w:b w:val="0"/>
        </w:rPr>
        <w:t xml:space="preserve">A. </w:t>
      </w:r>
      <w:r w:rsidRPr="00D2244C">
        <w:rPr>
          <w:rFonts w:eastAsia="標楷體"/>
          <w:b w:val="0"/>
        </w:rPr>
        <w:t>未來計畫範圍申請開發者，若申請建築容積率高於原計畫規定之</w:t>
      </w:r>
      <w:r w:rsidRPr="00D2244C">
        <w:rPr>
          <w:rFonts w:eastAsia="標楷體"/>
          <w:b w:val="0"/>
        </w:rPr>
        <w:t>300%</w:t>
      </w:r>
      <w:r w:rsidRPr="00D2244C">
        <w:rPr>
          <w:rFonts w:eastAsia="標楷體"/>
          <w:b w:val="0"/>
        </w:rPr>
        <w:t>，應繳納之代金計算方式如表</w:t>
      </w:r>
      <w:r>
        <w:rPr>
          <w:rFonts w:eastAsia="標楷體" w:hint="eastAsia"/>
          <w:b w:val="0"/>
        </w:rPr>
        <w:t>2</w:t>
      </w:r>
      <w:r w:rsidRPr="00D2244C">
        <w:rPr>
          <w:rFonts w:eastAsia="標楷體"/>
          <w:b w:val="0"/>
        </w:rPr>
        <w:t>所示。</w:t>
      </w:r>
    </w:p>
    <w:p w:rsidR="00095608" w:rsidRDefault="00095608" w:rsidP="00095608">
      <w:pPr>
        <w:pStyle w:val="11"/>
        <w:ind w:leftChars="600" w:left="1764" w:hangingChars="135" w:hanging="324"/>
        <w:rPr>
          <w:rFonts w:eastAsia="標楷體"/>
          <w:b w:val="0"/>
        </w:rPr>
      </w:pPr>
      <w:r>
        <w:rPr>
          <w:rFonts w:eastAsia="標楷體" w:hint="eastAsia"/>
          <w:b w:val="0"/>
        </w:rPr>
        <w:t>B</w:t>
      </w:r>
      <w:r>
        <w:rPr>
          <w:rFonts w:eastAsia="標楷體"/>
          <w:b w:val="0"/>
        </w:rPr>
        <w:t xml:space="preserve">. </w:t>
      </w:r>
      <w:r w:rsidRPr="00D2244C">
        <w:rPr>
          <w:rFonts w:eastAsia="標楷體"/>
          <w:b w:val="0"/>
        </w:rPr>
        <w:t>容積</w:t>
      </w:r>
      <w:r>
        <w:rPr>
          <w:rFonts w:eastAsia="標楷體"/>
          <w:b w:val="0"/>
        </w:rPr>
        <w:t>提升</w:t>
      </w:r>
      <w:r w:rsidRPr="00D2244C">
        <w:rPr>
          <w:rFonts w:eastAsia="標楷體"/>
          <w:b w:val="0"/>
        </w:rPr>
        <w:t>者申請建築及代金繳納程序如圖</w:t>
      </w:r>
      <w:r w:rsidRPr="00D2244C">
        <w:rPr>
          <w:rFonts w:eastAsia="標楷體"/>
          <w:b w:val="0"/>
        </w:rPr>
        <w:t>1</w:t>
      </w:r>
      <w:r w:rsidRPr="00D2244C">
        <w:rPr>
          <w:rFonts w:eastAsia="標楷體"/>
          <w:b w:val="0"/>
        </w:rPr>
        <w:t>所示。</w:t>
      </w:r>
      <w:bookmarkStart w:id="24" w:name="_Toc484092188"/>
    </w:p>
    <w:p w:rsidR="00095608" w:rsidRPr="00D2244C" w:rsidRDefault="00095608" w:rsidP="00095608">
      <w:pPr>
        <w:pStyle w:val="aff2"/>
        <w:ind w:leftChars="300" w:left="980" w:hangingChars="100" w:hanging="260"/>
        <w:rPr>
          <w:rFonts w:eastAsia="標楷體" w:cs="Times New Roman"/>
        </w:rPr>
      </w:pPr>
      <w:r>
        <w:rPr>
          <w:rFonts w:eastAsia="標楷體" w:cs="Times New Roman" w:hint="eastAsia"/>
        </w:rPr>
        <w:t>3</w:t>
      </w:r>
      <w:r>
        <w:rPr>
          <w:rFonts w:eastAsia="標楷體" w:cs="Times New Roman"/>
        </w:rPr>
        <w:t xml:space="preserve">. </w:t>
      </w:r>
      <w:r w:rsidR="00931CCB" w:rsidRPr="00931CCB">
        <w:rPr>
          <w:rFonts w:eastAsia="標楷體" w:cs="Times New Roman" w:hint="eastAsia"/>
        </w:rPr>
        <w:t>本案經都市計畫公告發布實施</w:t>
      </w:r>
      <w:proofErr w:type="gramStart"/>
      <w:r w:rsidR="00931CCB" w:rsidRPr="00931CCB">
        <w:rPr>
          <w:rFonts w:eastAsia="標楷體" w:cs="Times New Roman" w:hint="eastAsia"/>
        </w:rPr>
        <w:t>一</w:t>
      </w:r>
      <w:proofErr w:type="gramEnd"/>
      <w:r w:rsidR="00931CCB" w:rsidRPr="00931CCB">
        <w:rPr>
          <w:rFonts w:eastAsia="標楷體" w:cs="Times New Roman" w:hint="eastAsia"/>
        </w:rPr>
        <w:t>年內完成加昌路（</w:t>
      </w:r>
      <w:r w:rsidR="00931CCB" w:rsidRPr="00931CCB">
        <w:rPr>
          <w:rFonts w:eastAsia="標楷體" w:cs="Times New Roman" w:hint="eastAsia"/>
        </w:rPr>
        <w:t>8,310</w:t>
      </w:r>
      <w:r w:rsidR="00931CCB" w:rsidRPr="00931CCB">
        <w:rPr>
          <w:rFonts w:eastAsia="標楷體" w:cs="Times New Roman" w:hint="eastAsia"/>
        </w:rPr>
        <w:t>平方公尺）之土地移轉予高雄市政府，土地使用費用計算至</w:t>
      </w:r>
      <w:r w:rsidR="00931CCB" w:rsidRPr="00931CCB">
        <w:rPr>
          <w:rFonts w:eastAsia="標楷體" w:cs="Times New Roman" w:hint="eastAsia"/>
        </w:rPr>
        <w:t>106</w:t>
      </w:r>
      <w:r w:rsidR="00931CCB" w:rsidRPr="00931CCB">
        <w:rPr>
          <w:rFonts w:eastAsia="標楷體" w:cs="Times New Roman" w:hint="eastAsia"/>
        </w:rPr>
        <w:t>年</w:t>
      </w:r>
      <w:r w:rsidR="00931CCB" w:rsidRPr="00931CCB">
        <w:rPr>
          <w:rFonts w:eastAsia="標楷體" w:cs="Times New Roman" w:hint="eastAsia"/>
        </w:rPr>
        <w:t>12</w:t>
      </w:r>
      <w:r w:rsidR="00931CCB" w:rsidRPr="00931CCB">
        <w:rPr>
          <w:rFonts w:eastAsia="標楷體" w:cs="Times New Roman" w:hint="eastAsia"/>
        </w:rPr>
        <w:t>月</w:t>
      </w:r>
      <w:r w:rsidR="00931CCB" w:rsidRPr="00931CCB">
        <w:rPr>
          <w:rFonts w:eastAsia="標楷體" w:cs="Times New Roman" w:hint="eastAsia"/>
        </w:rPr>
        <w:t>31</w:t>
      </w:r>
      <w:r w:rsidR="00931CCB" w:rsidRPr="00931CCB">
        <w:rPr>
          <w:rFonts w:eastAsia="標楷體" w:cs="Times New Roman" w:hint="eastAsia"/>
        </w:rPr>
        <w:t>日止。</w:t>
      </w:r>
    </w:p>
    <w:p w:rsidR="00095608" w:rsidRPr="00D2244C" w:rsidRDefault="00095608" w:rsidP="00095608">
      <w:pPr>
        <w:pStyle w:val="11"/>
        <w:spacing w:line="320" w:lineRule="exact"/>
        <w:rPr>
          <w:rFonts w:eastAsia="標楷體"/>
        </w:rPr>
      </w:pPr>
      <w:r w:rsidRPr="00D2244C">
        <w:rPr>
          <w:rFonts w:eastAsia="標楷體"/>
        </w:rPr>
        <w:br w:type="page"/>
      </w:r>
    </w:p>
    <w:p w:rsidR="00095608" w:rsidRPr="00D2244C" w:rsidRDefault="00095608" w:rsidP="00F902B8">
      <w:pPr>
        <w:pStyle w:val="afd"/>
        <w:spacing w:before="120" w:after="120"/>
        <w:rPr>
          <w:rFonts w:eastAsia="標楷體"/>
        </w:rPr>
      </w:pPr>
      <w:bookmarkStart w:id="25" w:name="_Toc484101493"/>
      <w:bookmarkStart w:id="26" w:name="_Toc484178844"/>
      <w:bookmarkStart w:id="27" w:name="_Toc486253222"/>
      <w:bookmarkStart w:id="28" w:name="_Toc486319610"/>
      <w:bookmarkStart w:id="29" w:name="_Toc486319970"/>
      <w:bookmarkStart w:id="30" w:name="_Toc486340149"/>
      <w:bookmarkStart w:id="31" w:name="_Toc487821589"/>
      <w:r w:rsidRPr="00D2244C">
        <w:rPr>
          <w:rFonts w:eastAsia="標楷體"/>
        </w:rPr>
        <w:lastRenderedPageBreak/>
        <w:t>表</w:t>
      </w:r>
      <w:r>
        <w:rPr>
          <w:rFonts w:eastAsia="標楷體" w:hint="eastAsia"/>
        </w:rPr>
        <w:t>2</w:t>
      </w:r>
      <w:r w:rsidRPr="00D2244C">
        <w:rPr>
          <w:rFonts w:eastAsia="標楷體"/>
        </w:rPr>
        <w:t xml:space="preserve">  </w:t>
      </w:r>
      <w:r w:rsidRPr="00D2244C">
        <w:rPr>
          <w:rFonts w:eastAsia="標楷體"/>
        </w:rPr>
        <w:t>變更後容積</w:t>
      </w:r>
      <w:r>
        <w:rPr>
          <w:rFonts w:eastAsia="標楷體"/>
        </w:rPr>
        <w:t>提升</w:t>
      </w:r>
      <w:r w:rsidRPr="00D2244C">
        <w:rPr>
          <w:rFonts w:eastAsia="標楷體"/>
        </w:rPr>
        <w:t>回饋負擔項目及計算方式一覽表</w:t>
      </w:r>
      <w:bookmarkEnd w:id="24"/>
      <w:bookmarkEnd w:id="25"/>
      <w:bookmarkEnd w:id="26"/>
      <w:bookmarkEnd w:id="27"/>
      <w:bookmarkEnd w:id="28"/>
      <w:bookmarkEnd w:id="29"/>
      <w:bookmarkEnd w:id="30"/>
      <w:bookmarkEnd w:id="31"/>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935"/>
        <w:gridCol w:w="3118"/>
        <w:gridCol w:w="972"/>
        <w:gridCol w:w="1415"/>
        <w:gridCol w:w="1975"/>
        <w:gridCol w:w="1439"/>
      </w:tblGrid>
      <w:tr w:rsidR="00095608" w:rsidRPr="00D2244C" w:rsidTr="00931CCB">
        <w:trPr>
          <w:trHeight w:val="59"/>
        </w:trPr>
        <w:tc>
          <w:tcPr>
            <w:tcW w:w="475" w:type="pct"/>
            <w:shd w:val="clear" w:color="auto" w:fill="auto"/>
            <w:vAlign w:val="center"/>
          </w:tcPr>
          <w:p w:rsidR="00095608" w:rsidRPr="00D2244C" w:rsidRDefault="00095608" w:rsidP="00945E20">
            <w:pPr>
              <w:pStyle w:val="aff0"/>
              <w:spacing w:line="320" w:lineRule="exact"/>
              <w:rPr>
                <w:rFonts w:eastAsia="標楷體"/>
                <w:color w:val="auto"/>
                <w:szCs w:val="22"/>
              </w:rPr>
            </w:pPr>
            <w:r w:rsidRPr="00D2244C">
              <w:rPr>
                <w:rFonts w:eastAsia="標楷體"/>
                <w:color w:val="auto"/>
                <w:szCs w:val="22"/>
              </w:rPr>
              <w:t>項目</w:t>
            </w:r>
          </w:p>
        </w:tc>
        <w:tc>
          <w:tcPr>
            <w:tcW w:w="1582" w:type="pct"/>
            <w:shd w:val="clear" w:color="auto" w:fill="auto"/>
            <w:vAlign w:val="center"/>
          </w:tcPr>
          <w:p w:rsidR="00095608" w:rsidRPr="00D2244C" w:rsidRDefault="00095608" w:rsidP="00945E20">
            <w:pPr>
              <w:pStyle w:val="aff0"/>
              <w:spacing w:line="320" w:lineRule="exact"/>
              <w:rPr>
                <w:rFonts w:eastAsia="標楷體"/>
                <w:color w:val="auto"/>
                <w:szCs w:val="22"/>
              </w:rPr>
            </w:pPr>
            <w:r w:rsidRPr="00D2244C">
              <w:rPr>
                <w:rFonts w:eastAsia="標楷體"/>
                <w:color w:val="auto"/>
                <w:szCs w:val="22"/>
              </w:rPr>
              <w:t>計算公式</w:t>
            </w:r>
          </w:p>
        </w:tc>
        <w:tc>
          <w:tcPr>
            <w:tcW w:w="493" w:type="pct"/>
            <w:shd w:val="clear" w:color="auto" w:fill="auto"/>
            <w:vAlign w:val="center"/>
          </w:tcPr>
          <w:p w:rsidR="00095608" w:rsidRPr="00D2244C" w:rsidRDefault="00095608" w:rsidP="00945E20">
            <w:pPr>
              <w:pStyle w:val="aff0"/>
              <w:spacing w:line="320" w:lineRule="exact"/>
              <w:rPr>
                <w:rFonts w:eastAsia="標楷體"/>
                <w:color w:val="auto"/>
                <w:szCs w:val="22"/>
              </w:rPr>
            </w:pPr>
            <w:r w:rsidRPr="00D2244C">
              <w:rPr>
                <w:rFonts w:eastAsia="標楷體"/>
                <w:color w:val="auto"/>
                <w:szCs w:val="22"/>
              </w:rPr>
              <w:t>類別</w:t>
            </w:r>
          </w:p>
        </w:tc>
        <w:tc>
          <w:tcPr>
            <w:tcW w:w="718" w:type="pct"/>
            <w:shd w:val="clear" w:color="auto" w:fill="auto"/>
          </w:tcPr>
          <w:p w:rsidR="00095608" w:rsidRPr="00D2244C" w:rsidRDefault="00095608" w:rsidP="00945E20">
            <w:pPr>
              <w:pStyle w:val="aff0"/>
              <w:spacing w:line="320" w:lineRule="exact"/>
              <w:rPr>
                <w:rFonts w:eastAsia="標楷體"/>
                <w:color w:val="auto"/>
                <w:szCs w:val="22"/>
              </w:rPr>
            </w:pPr>
            <w:r w:rsidRPr="00D2244C">
              <w:rPr>
                <w:rFonts w:eastAsia="標楷體"/>
                <w:color w:val="auto"/>
                <w:szCs w:val="22"/>
              </w:rPr>
              <w:t>比例</w:t>
            </w:r>
          </w:p>
        </w:tc>
        <w:tc>
          <w:tcPr>
            <w:tcW w:w="1002" w:type="pct"/>
            <w:shd w:val="clear" w:color="auto" w:fill="auto"/>
          </w:tcPr>
          <w:p w:rsidR="00095608" w:rsidRPr="00D2244C" w:rsidRDefault="00095608" w:rsidP="00945E20">
            <w:pPr>
              <w:pStyle w:val="aff0"/>
              <w:spacing w:line="320" w:lineRule="exact"/>
              <w:rPr>
                <w:rFonts w:eastAsia="標楷體"/>
                <w:color w:val="auto"/>
                <w:szCs w:val="22"/>
              </w:rPr>
            </w:pPr>
            <w:r w:rsidRPr="00D2244C">
              <w:rPr>
                <w:rFonts w:eastAsia="標楷體"/>
                <w:color w:val="auto"/>
                <w:szCs w:val="22"/>
              </w:rPr>
              <w:t>說明</w:t>
            </w:r>
          </w:p>
        </w:tc>
        <w:tc>
          <w:tcPr>
            <w:tcW w:w="731" w:type="pct"/>
            <w:shd w:val="clear" w:color="auto" w:fill="auto"/>
            <w:vAlign w:val="center"/>
          </w:tcPr>
          <w:p w:rsidR="00095608" w:rsidRPr="00D2244C" w:rsidRDefault="00095608" w:rsidP="00945E20">
            <w:pPr>
              <w:pStyle w:val="aff0"/>
              <w:spacing w:line="320" w:lineRule="exact"/>
              <w:rPr>
                <w:rFonts w:eastAsia="標楷體"/>
                <w:color w:val="auto"/>
                <w:szCs w:val="22"/>
              </w:rPr>
            </w:pPr>
            <w:r w:rsidRPr="00D2244C">
              <w:rPr>
                <w:rFonts w:eastAsia="標楷體"/>
                <w:color w:val="auto"/>
                <w:szCs w:val="22"/>
              </w:rPr>
              <w:t>備註</w:t>
            </w:r>
          </w:p>
        </w:tc>
      </w:tr>
      <w:tr w:rsidR="00095608" w:rsidRPr="00D2244C" w:rsidTr="00931CCB">
        <w:trPr>
          <w:trHeight w:val="1721"/>
        </w:trPr>
        <w:tc>
          <w:tcPr>
            <w:tcW w:w="475" w:type="pct"/>
            <w:vMerge w:val="restart"/>
            <w:shd w:val="clear" w:color="auto" w:fill="auto"/>
            <w:vAlign w:val="center"/>
          </w:tcPr>
          <w:p w:rsidR="00095608" w:rsidRPr="00D2244C" w:rsidRDefault="00095608" w:rsidP="00945E20">
            <w:pPr>
              <w:pStyle w:val="aff0"/>
              <w:spacing w:line="320" w:lineRule="exact"/>
              <w:rPr>
                <w:rFonts w:eastAsia="標楷體"/>
                <w:color w:val="auto"/>
                <w:szCs w:val="22"/>
              </w:rPr>
            </w:pPr>
            <w:r w:rsidRPr="00D2244C">
              <w:rPr>
                <w:rFonts w:eastAsia="標楷體"/>
                <w:color w:val="auto"/>
                <w:szCs w:val="22"/>
              </w:rPr>
              <w:t>應抵繳代金總額（</w:t>
            </w:r>
            <w:r w:rsidRPr="00D2244C">
              <w:rPr>
                <w:rFonts w:eastAsia="標楷體"/>
                <w:color w:val="auto"/>
                <w:szCs w:val="22"/>
              </w:rPr>
              <w:t>T</w:t>
            </w:r>
            <w:r w:rsidRPr="00D2244C">
              <w:rPr>
                <w:rFonts w:eastAsia="標楷體"/>
                <w:color w:val="auto"/>
                <w:szCs w:val="22"/>
              </w:rPr>
              <w:t>）</w:t>
            </w:r>
          </w:p>
        </w:tc>
        <w:tc>
          <w:tcPr>
            <w:tcW w:w="1582" w:type="pct"/>
            <w:vMerge w:val="restart"/>
            <w:shd w:val="clear" w:color="auto" w:fill="auto"/>
            <w:vAlign w:val="center"/>
          </w:tcPr>
          <w:p w:rsidR="00095608" w:rsidRPr="007C35FD" w:rsidRDefault="00095608" w:rsidP="00945E20">
            <w:pPr>
              <w:pStyle w:val="aff0"/>
              <w:spacing w:line="320" w:lineRule="exact"/>
              <w:jc w:val="left"/>
              <w:rPr>
                <w:rFonts w:eastAsia="標楷體"/>
                <w:color w:val="auto"/>
                <w:szCs w:val="22"/>
              </w:rPr>
            </w:pPr>
            <w:r w:rsidRPr="007C35FD">
              <w:rPr>
                <w:rFonts w:eastAsia="標楷體" w:hint="eastAsia"/>
                <w:color w:val="auto"/>
                <w:szCs w:val="22"/>
              </w:rPr>
              <w:t>T=A</w:t>
            </w:r>
            <w:r w:rsidRPr="007C35FD">
              <w:rPr>
                <w:rFonts w:eastAsia="標楷體" w:hint="eastAsia"/>
                <w:color w:val="auto"/>
                <w:szCs w:val="22"/>
              </w:rPr>
              <w:t>×△</w:t>
            </w:r>
            <w:r w:rsidRPr="007C35FD">
              <w:rPr>
                <w:rFonts w:eastAsia="標楷體" w:hint="eastAsia"/>
                <w:color w:val="auto"/>
                <w:szCs w:val="22"/>
              </w:rPr>
              <w:t>F</w:t>
            </w:r>
            <w:r w:rsidRPr="007C35FD">
              <w:rPr>
                <w:rFonts w:eastAsia="標楷體" w:hint="eastAsia"/>
                <w:color w:val="auto"/>
                <w:szCs w:val="22"/>
              </w:rPr>
              <w:t>×</w:t>
            </w:r>
            <w:r w:rsidRPr="007C35FD">
              <w:rPr>
                <w:rFonts w:eastAsia="標楷體" w:hint="eastAsia"/>
                <w:color w:val="auto"/>
                <w:szCs w:val="22"/>
              </w:rPr>
              <w:t>R</w:t>
            </w:r>
            <w:r w:rsidRPr="007C35FD">
              <w:rPr>
                <w:rFonts w:eastAsia="標楷體" w:hint="eastAsia"/>
                <w:color w:val="auto"/>
                <w:szCs w:val="22"/>
              </w:rPr>
              <w:t>×</w:t>
            </w:r>
            <w:r w:rsidRPr="007C35FD">
              <w:rPr>
                <w:rFonts w:eastAsia="標楷體" w:hint="eastAsia"/>
                <w:color w:val="auto"/>
                <w:szCs w:val="22"/>
              </w:rPr>
              <w:t>M</w:t>
            </w:r>
            <w:r w:rsidRPr="007C35FD">
              <w:rPr>
                <w:rFonts w:eastAsia="標楷體" w:hint="eastAsia"/>
                <w:color w:val="auto"/>
                <w:szCs w:val="22"/>
              </w:rPr>
              <w:t>×</w:t>
            </w:r>
            <w:r w:rsidRPr="007C35FD">
              <w:rPr>
                <w:rFonts w:eastAsia="標楷體" w:hint="eastAsia"/>
                <w:color w:val="auto"/>
                <w:szCs w:val="22"/>
              </w:rPr>
              <w:t>t</w:t>
            </w:r>
          </w:p>
          <w:p w:rsidR="00095608" w:rsidRPr="007C35FD" w:rsidRDefault="00095608" w:rsidP="00945E20">
            <w:pPr>
              <w:pStyle w:val="aff0"/>
              <w:spacing w:line="320" w:lineRule="exact"/>
              <w:jc w:val="left"/>
              <w:rPr>
                <w:rFonts w:eastAsia="標楷體"/>
                <w:color w:val="auto"/>
                <w:szCs w:val="22"/>
              </w:rPr>
            </w:pPr>
            <w:r w:rsidRPr="007C35FD">
              <w:rPr>
                <w:rFonts w:eastAsia="標楷體" w:hint="eastAsia"/>
                <w:color w:val="auto"/>
                <w:szCs w:val="22"/>
              </w:rPr>
              <w:t>A1=</w:t>
            </w:r>
            <w:r w:rsidRPr="007C35FD">
              <w:rPr>
                <w:rFonts w:eastAsia="標楷體" w:hint="eastAsia"/>
                <w:color w:val="auto"/>
                <w:szCs w:val="22"/>
              </w:rPr>
              <w:t>申請基地單位面積</w:t>
            </w:r>
          </w:p>
          <w:p w:rsidR="00095608" w:rsidRPr="007C35FD" w:rsidRDefault="00095608" w:rsidP="00945E20">
            <w:pPr>
              <w:pStyle w:val="aff0"/>
              <w:spacing w:line="320" w:lineRule="exact"/>
              <w:jc w:val="left"/>
              <w:rPr>
                <w:rFonts w:eastAsia="標楷體"/>
                <w:color w:val="auto"/>
                <w:szCs w:val="22"/>
              </w:rPr>
            </w:pPr>
            <w:r w:rsidRPr="007C35FD">
              <w:rPr>
                <w:rFonts w:eastAsia="標楷體" w:hint="eastAsia"/>
                <w:color w:val="auto"/>
                <w:szCs w:val="22"/>
              </w:rPr>
              <w:t>△</w:t>
            </w:r>
            <w:r w:rsidRPr="007C35FD">
              <w:rPr>
                <w:rFonts w:eastAsia="標楷體" w:hint="eastAsia"/>
                <w:color w:val="auto"/>
                <w:szCs w:val="22"/>
              </w:rPr>
              <w:t>F=[(</w:t>
            </w:r>
            <w:r w:rsidRPr="007C35FD">
              <w:rPr>
                <w:rFonts w:eastAsia="標楷體" w:hint="eastAsia"/>
                <w:color w:val="auto"/>
                <w:szCs w:val="22"/>
              </w:rPr>
              <w:t>申請建築</w:t>
            </w:r>
            <w:proofErr w:type="gramStart"/>
            <w:r w:rsidRPr="007C35FD">
              <w:rPr>
                <w:rFonts w:eastAsia="標楷體" w:hint="eastAsia"/>
                <w:color w:val="auto"/>
                <w:szCs w:val="22"/>
              </w:rPr>
              <w:t>容積率－按原</w:t>
            </w:r>
            <w:proofErr w:type="gramEnd"/>
            <w:r w:rsidRPr="007C35FD">
              <w:rPr>
                <w:rFonts w:eastAsia="標楷體" w:hint="eastAsia"/>
                <w:color w:val="auto"/>
                <w:szCs w:val="22"/>
              </w:rPr>
              <w:t>乙種工業區容積率</w:t>
            </w:r>
            <w:r w:rsidRPr="007C35FD">
              <w:rPr>
                <w:rFonts w:eastAsia="標楷體" w:hint="eastAsia"/>
                <w:color w:val="auto"/>
                <w:szCs w:val="22"/>
              </w:rPr>
              <w:t>(300%))</w:t>
            </w:r>
            <w:r w:rsidRPr="007C35FD">
              <w:rPr>
                <w:rFonts w:eastAsia="標楷體" w:hint="eastAsia"/>
                <w:color w:val="auto"/>
                <w:szCs w:val="22"/>
              </w:rPr>
              <w:t>÷原乙種工業區容積率</w:t>
            </w:r>
            <w:r w:rsidRPr="007C35FD">
              <w:rPr>
                <w:rFonts w:eastAsia="標楷體" w:hint="eastAsia"/>
                <w:color w:val="auto"/>
                <w:szCs w:val="22"/>
              </w:rPr>
              <w:t>(300%)]</w:t>
            </w:r>
          </w:p>
          <w:p w:rsidR="00095608" w:rsidRPr="007C35FD" w:rsidRDefault="00095608" w:rsidP="00945E20">
            <w:pPr>
              <w:pStyle w:val="aff0"/>
              <w:spacing w:line="320" w:lineRule="exact"/>
              <w:jc w:val="left"/>
              <w:rPr>
                <w:rFonts w:eastAsia="標楷體"/>
                <w:color w:val="auto"/>
                <w:szCs w:val="22"/>
              </w:rPr>
            </w:pPr>
            <w:r w:rsidRPr="007C35FD">
              <w:rPr>
                <w:rFonts w:eastAsia="標楷體" w:hint="eastAsia"/>
                <w:color w:val="auto"/>
                <w:szCs w:val="22"/>
              </w:rPr>
              <w:t>R=</w:t>
            </w:r>
            <w:r w:rsidRPr="007C35FD">
              <w:rPr>
                <w:rFonts w:eastAsia="標楷體" w:hint="eastAsia"/>
                <w:color w:val="auto"/>
                <w:szCs w:val="22"/>
              </w:rPr>
              <w:t>申請容積增量當期楠梓加工出口區土地租金</w:t>
            </w:r>
            <w:r w:rsidRPr="007C35FD">
              <w:rPr>
                <w:rFonts w:eastAsia="標楷體" w:hint="eastAsia"/>
                <w:color w:val="auto"/>
                <w:szCs w:val="22"/>
              </w:rPr>
              <w:t>(</w:t>
            </w:r>
            <w:r w:rsidRPr="007C35FD">
              <w:rPr>
                <w:rFonts w:eastAsia="標楷體" w:hint="eastAsia"/>
                <w:color w:val="auto"/>
                <w:szCs w:val="22"/>
              </w:rPr>
              <w:t>元</w:t>
            </w:r>
            <w:r w:rsidRPr="007C35FD">
              <w:rPr>
                <w:rFonts w:eastAsia="標楷體" w:hint="eastAsia"/>
                <w:color w:val="auto"/>
                <w:szCs w:val="22"/>
              </w:rPr>
              <w:t>/</w:t>
            </w:r>
            <w:r w:rsidRPr="007C35FD">
              <w:rPr>
                <w:rFonts w:eastAsia="標楷體" w:hint="eastAsia"/>
                <w:color w:val="auto"/>
                <w:szCs w:val="22"/>
              </w:rPr>
              <w:t>單位面積</w:t>
            </w:r>
            <w:r w:rsidRPr="007C35FD">
              <w:rPr>
                <w:rFonts w:eastAsia="標楷體" w:hint="eastAsia"/>
                <w:color w:val="auto"/>
                <w:szCs w:val="22"/>
              </w:rPr>
              <w:t>/</w:t>
            </w:r>
            <w:r w:rsidRPr="007C35FD">
              <w:rPr>
                <w:rFonts w:eastAsia="標楷體" w:hint="eastAsia"/>
                <w:color w:val="auto"/>
                <w:szCs w:val="22"/>
              </w:rPr>
              <w:t>月</w:t>
            </w:r>
            <w:r w:rsidRPr="007C35FD">
              <w:rPr>
                <w:rFonts w:eastAsia="標楷體" w:hint="eastAsia"/>
                <w:color w:val="auto"/>
                <w:szCs w:val="22"/>
              </w:rPr>
              <w:t>)</w:t>
            </w:r>
          </w:p>
          <w:p w:rsidR="00095608" w:rsidRPr="007C35FD" w:rsidRDefault="00095608" w:rsidP="00945E20">
            <w:pPr>
              <w:pStyle w:val="aff0"/>
              <w:spacing w:line="320" w:lineRule="exact"/>
              <w:jc w:val="left"/>
              <w:rPr>
                <w:rFonts w:eastAsia="標楷體"/>
                <w:color w:val="auto"/>
                <w:szCs w:val="22"/>
              </w:rPr>
            </w:pPr>
            <w:r w:rsidRPr="007C35FD">
              <w:rPr>
                <w:rFonts w:eastAsia="標楷體" w:hint="eastAsia"/>
                <w:color w:val="auto"/>
                <w:szCs w:val="22"/>
              </w:rPr>
              <w:t>M=12</w:t>
            </w:r>
            <w:r w:rsidRPr="007C35FD">
              <w:rPr>
                <w:rFonts w:eastAsia="標楷體" w:hint="eastAsia"/>
                <w:color w:val="auto"/>
                <w:szCs w:val="22"/>
              </w:rPr>
              <w:t>月</w:t>
            </w:r>
            <w:r w:rsidRPr="007C35FD">
              <w:rPr>
                <w:rFonts w:eastAsia="標楷體" w:hint="eastAsia"/>
                <w:color w:val="auto"/>
                <w:szCs w:val="22"/>
              </w:rPr>
              <w:t>/</w:t>
            </w:r>
            <w:r w:rsidRPr="007C35FD">
              <w:rPr>
                <w:rFonts w:eastAsia="標楷體" w:hint="eastAsia"/>
                <w:color w:val="auto"/>
                <w:szCs w:val="22"/>
              </w:rPr>
              <w:t>年</w:t>
            </w:r>
          </w:p>
          <w:p w:rsidR="00095608" w:rsidRPr="00D2244C" w:rsidRDefault="00095608" w:rsidP="00945E20">
            <w:pPr>
              <w:pStyle w:val="aff0"/>
              <w:spacing w:line="320" w:lineRule="exact"/>
              <w:ind w:left="286" w:hangingChars="130" w:hanging="286"/>
              <w:jc w:val="left"/>
              <w:rPr>
                <w:rFonts w:eastAsia="標楷體"/>
                <w:color w:val="auto"/>
                <w:szCs w:val="22"/>
              </w:rPr>
            </w:pPr>
            <w:r w:rsidRPr="007C35FD">
              <w:rPr>
                <w:rFonts w:eastAsia="標楷體" w:hint="eastAsia"/>
                <w:color w:val="auto"/>
                <w:szCs w:val="22"/>
              </w:rPr>
              <w:t>t=35</w:t>
            </w:r>
            <w:r w:rsidRPr="007C35FD">
              <w:rPr>
                <w:rFonts w:eastAsia="標楷體" w:hint="eastAsia"/>
                <w:color w:val="auto"/>
                <w:szCs w:val="22"/>
              </w:rPr>
              <w:t>年</w:t>
            </w:r>
          </w:p>
        </w:tc>
        <w:tc>
          <w:tcPr>
            <w:tcW w:w="493" w:type="pct"/>
            <w:vMerge w:val="restart"/>
            <w:shd w:val="clear" w:color="auto" w:fill="auto"/>
            <w:vAlign w:val="center"/>
          </w:tcPr>
          <w:p w:rsidR="00095608" w:rsidRPr="00D2244C" w:rsidRDefault="00095608" w:rsidP="00945E20">
            <w:pPr>
              <w:pStyle w:val="aff0"/>
              <w:spacing w:line="320" w:lineRule="exact"/>
              <w:rPr>
                <w:rFonts w:eastAsia="標楷體"/>
                <w:color w:val="auto"/>
                <w:szCs w:val="22"/>
              </w:rPr>
            </w:pPr>
            <w:r w:rsidRPr="00D2244C">
              <w:rPr>
                <w:rFonts w:eastAsia="標楷體"/>
                <w:color w:val="auto"/>
                <w:szCs w:val="22"/>
              </w:rPr>
              <w:t>權利金</w:t>
            </w:r>
          </w:p>
        </w:tc>
        <w:tc>
          <w:tcPr>
            <w:tcW w:w="718" w:type="pct"/>
            <w:shd w:val="clear" w:color="auto" w:fill="auto"/>
            <w:vAlign w:val="center"/>
          </w:tcPr>
          <w:p w:rsidR="00095608" w:rsidRPr="00D2244C" w:rsidRDefault="00095608" w:rsidP="00945E20">
            <w:pPr>
              <w:pStyle w:val="aff0"/>
              <w:spacing w:line="320" w:lineRule="exact"/>
              <w:jc w:val="both"/>
              <w:rPr>
                <w:rFonts w:eastAsia="標楷體"/>
                <w:color w:val="auto"/>
                <w:szCs w:val="22"/>
              </w:rPr>
            </w:pPr>
            <w:r w:rsidRPr="00D2244C">
              <w:rPr>
                <w:rFonts w:eastAsia="標楷體"/>
                <w:color w:val="auto"/>
                <w:szCs w:val="22"/>
              </w:rPr>
              <w:t>應抵繳代金總額</w:t>
            </w:r>
            <w:r w:rsidRPr="00D2244C">
              <w:rPr>
                <w:rFonts w:eastAsia="標楷體"/>
                <w:color w:val="auto"/>
                <w:szCs w:val="22"/>
              </w:rPr>
              <w:t>(T)×(1/2)</w:t>
            </w:r>
          </w:p>
        </w:tc>
        <w:tc>
          <w:tcPr>
            <w:tcW w:w="1002" w:type="pct"/>
            <w:shd w:val="clear" w:color="auto" w:fill="auto"/>
            <w:vAlign w:val="center"/>
          </w:tcPr>
          <w:p w:rsidR="00095608" w:rsidRPr="00D2244C" w:rsidRDefault="00095608" w:rsidP="00945E20">
            <w:pPr>
              <w:pStyle w:val="aff0"/>
              <w:spacing w:line="320" w:lineRule="exact"/>
              <w:jc w:val="both"/>
              <w:rPr>
                <w:rFonts w:eastAsia="標楷體"/>
                <w:color w:val="auto"/>
                <w:szCs w:val="22"/>
              </w:rPr>
            </w:pPr>
            <w:r w:rsidRPr="00D2244C">
              <w:rPr>
                <w:rFonts w:eastAsia="標楷體"/>
                <w:color w:val="auto"/>
                <w:szCs w:val="22"/>
              </w:rPr>
              <w:t>容積</w:t>
            </w:r>
            <w:r>
              <w:rPr>
                <w:rFonts w:eastAsia="標楷體"/>
                <w:color w:val="auto"/>
                <w:szCs w:val="22"/>
              </w:rPr>
              <w:t>提升請領建照（或變更使</w:t>
            </w:r>
            <w:r w:rsidRPr="00D2244C">
              <w:rPr>
                <w:rFonts w:eastAsia="標楷體"/>
                <w:color w:val="auto"/>
                <w:szCs w:val="22"/>
              </w:rPr>
              <w:t>照）時繳納</w:t>
            </w:r>
          </w:p>
        </w:tc>
        <w:tc>
          <w:tcPr>
            <w:tcW w:w="731" w:type="pct"/>
            <w:vMerge w:val="restart"/>
            <w:shd w:val="clear" w:color="auto" w:fill="auto"/>
            <w:vAlign w:val="center"/>
          </w:tcPr>
          <w:p w:rsidR="00095608" w:rsidRPr="00D2244C" w:rsidRDefault="00095608" w:rsidP="00945E20">
            <w:pPr>
              <w:pStyle w:val="aff0"/>
              <w:spacing w:line="320" w:lineRule="exact"/>
              <w:jc w:val="both"/>
              <w:rPr>
                <w:rFonts w:eastAsia="標楷體"/>
                <w:color w:val="auto"/>
                <w:szCs w:val="22"/>
              </w:rPr>
            </w:pPr>
            <w:r w:rsidRPr="00D2244C">
              <w:rPr>
                <w:rFonts w:eastAsia="標楷體"/>
                <w:color w:val="auto"/>
                <w:szCs w:val="22"/>
              </w:rPr>
              <w:t>建築使用年限依財政部高雄市國稅局固定資產耐用年數表中有關鋼筋</w:t>
            </w:r>
            <w:r w:rsidRPr="00D2244C">
              <w:rPr>
                <w:rFonts w:eastAsia="標楷體"/>
                <w:color w:val="auto"/>
                <w:szCs w:val="22"/>
              </w:rPr>
              <w:t>(</w:t>
            </w:r>
            <w:r w:rsidRPr="00D2244C">
              <w:rPr>
                <w:rFonts w:eastAsia="標楷體"/>
                <w:color w:val="auto"/>
                <w:szCs w:val="22"/>
              </w:rPr>
              <w:t>骨</w:t>
            </w:r>
            <w:r w:rsidRPr="00D2244C">
              <w:rPr>
                <w:rFonts w:eastAsia="標楷體"/>
                <w:color w:val="auto"/>
                <w:szCs w:val="22"/>
              </w:rPr>
              <w:t>)</w:t>
            </w:r>
            <w:r w:rsidRPr="00D2244C">
              <w:rPr>
                <w:rFonts w:eastAsia="標楷體"/>
                <w:color w:val="auto"/>
                <w:szCs w:val="22"/>
              </w:rPr>
              <w:t>混凝土建造之工廠用廠房耐用年限</w:t>
            </w:r>
            <w:r w:rsidRPr="00D2244C">
              <w:rPr>
                <w:rFonts w:eastAsia="標楷體"/>
                <w:color w:val="auto"/>
                <w:szCs w:val="22"/>
              </w:rPr>
              <w:t>35</w:t>
            </w:r>
            <w:r w:rsidRPr="00D2244C">
              <w:rPr>
                <w:rFonts w:eastAsia="標楷體"/>
                <w:color w:val="auto"/>
                <w:szCs w:val="22"/>
              </w:rPr>
              <w:t>年計算。</w:t>
            </w:r>
          </w:p>
        </w:tc>
      </w:tr>
      <w:tr w:rsidR="00095608" w:rsidRPr="00D2244C" w:rsidTr="00931CCB">
        <w:trPr>
          <w:trHeight w:val="1722"/>
        </w:trPr>
        <w:tc>
          <w:tcPr>
            <w:tcW w:w="475" w:type="pct"/>
            <w:vMerge/>
            <w:shd w:val="clear" w:color="auto" w:fill="auto"/>
            <w:vAlign w:val="center"/>
          </w:tcPr>
          <w:p w:rsidR="00095608" w:rsidRPr="00D2244C" w:rsidRDefault="00095608" w:rsidP="00945E20">
            <w:pPr>
              <w:pStyle w:val="aff0"/>
              <w:spacing w:line="320" w:lineRule="exact"/>
              <w:rPr>
                <w:rFonts w:eastAsia="標楷體"/>
                <w:color w:val="auto"/>
                <w:szCs w:val="22"/>
              </w:rPr>
            </w:pPr>
          </w:p>
        </w:tc>
        <w:tc>
          <w:tcPr>
            <w:tcW w:w="1582" w:type="pct"/>
            <w:vMerge/>
            <w:shd w:val="clear" w:color="auto" w:fill="auto"/>
            <w:vAlign w:val="center"/>
          </w:tcPr>
          <w:p w:rsidR="00095608" w:rsidRPr="00D2244C" w:rsidRDefault="00095608" w:rsidP="00945E20">
            <w:pPr>
              <w:pStyle w:val="aff0"/>
              <w:spacing w:line="320" w:lineRule="exact"/>
              <w:rPr>
                <w:rFonts w:eastAsia="標楷體"/>
                <w:color w:val="auto"/>
                <w:szCs w:val="22"/>
              </w:rPr>
            </w:pPr>
          </w:p>
        </w:tc>
        <w:tc>
          <w:tcPr>
            <w:tcW w:w="493" w:type="pct"/>
            <w:vMerge/>
            <w:shd w:val="clear" w:color="auto" w:fill="auto"/>
            <w:vAlign w:val="center"/>
          </w:tcPr>
          <w:p w:rsidR="00095608" w:rsidRPr="00D2244C" w:rsidRDefault="00095608" w:rsidP="00945E20">
            <w:pPr>
              <w:pStyle w:val="aff0"/>
              <w:spacing w:line="320" w:lineRule="exact"/>
              <w:jc w:val="both"/>
              <w:rPr>
                <w:rFonts w:eastAsia="標楷體"/>
                <w:color w:val="auto"/>
                <w:szCs w:val="22"/>
              </w:rPr>
            </w:pPr>
          </w:p>
        </w:tc>
        <w:tc>
          <w:tcPr>
            <w:tcW w:w="718" w:type="pct"/>
            <w:shd w:val="clear" w:color="auto" w:fill="auto"/>
            <w:vAlign w:val="center"/>
          </w:tcPr>
          <w:p w:rsidR="00095608" w:rsidRPr="00D2244C" w:rsidRDefault="00095608" w:rsidP="00945E20">
            <w:pPr>
              <w:pStyle w:val="aff0"/>
              <w:spacing w:line="320" w:lineRule="exact"/>
              <w:jc w:val="both"/>
              <w:rPr>
                <w:rFonts w:eastAsia="標楷體"/>
                <w:color w:val="auto"/>
                <w:szCs w:val="22"/>
              </w:rPr>
            </w:pPr>
            <w:r w:rsidRPr="00D2244C">
              <w:rPr>
                <w:rFonts w:eastAsia="標楷體"/>
                <w:color w:val="auto"/>
                <w:szCs w:val="22"/>
              </w:rPr>
              <w:t>應抵繳代金總額</w:t>
            </w:r>
            <w:r w:rsidRPr="00D2244C">
              <w:rPr>
                <w:rFonts w:eastAsia="標楷體"/>
                <w:color w:val="auto"/>
                <w:szCs w:val="22"/>
              </w:rPr>
              <w:t>(T)×(1/2)</w:t>
            </w:r>
          </w:p>
        </w:tc>
        <w:tc>
          <w:tcPr>
            <w:tcW w:w="1002" w:type="pct"/>
            <w:shd w:val="clear" w:color="auto" w:fill="auto"/>
            <w:vAlign w:val="center"/>
          </w:tcPr>
          <w:p w:rsidR="00095608" w:rsidRPr="00D2244C" w:rsidRDefault="00095608" w:rsidP="00945E20">
            <w:pPr>
              <w:pStyle w:val="aff0"/>
              <w:spacing w:line="320" w:lineRule="exact"/>
              <w:jc w:val="both"/>
              <w:rPr>
                <w:rFonts w:eastAsia="標楷體"/>
                <w:color w:val="auto"/>
                <w:szCs w:val="22"/>
              </w:rPr>
            </w:pPr>
            <w:proofErr w:type="gramStart"/>
            <w:r>
              <w:rPr>
                <w:rFonts w:eastAsia="標楷體"/>
                <w:color w:val="auto"/>
                <w:szCs w:val="22"/>
              </w:rPr>
              <w:t>請領使</w:t>
            </w:r>
            <w:r w:rsidRPr="00D2244C">
              <w:rPr>
                <w:rFonts w:eastAsia="標楷體"/>
                <w:color w:val="auto"/>
                <w:szCs w:val="22"/>
              </w:rPr>
              <w:t>照</w:t>
            </w:r>
            <w:proofErr w:type="gramEnd"/>
            <w:r w:rsidRPr="00D2244C">
              <w:rPr>
                <w:rFonts w:eastAsia="標楷體"/>
                <w:color w:val="auto"/>
                <w:szCs w:val="22"/>
              </w:rPr>
              <w:t>時繳納</w:t>
            </w:r>
          </w:p>
        </w:tc>
        <w:tc>
          <w:tcPr>
            <w:tcW w:w="731" w:type="pct"/>
            <w:vMerge/>
            <w:shd w:val="clear" w:color="auto" w:fill="auto"/>
            <w:vAlign w:val="center"/>
          </w:tcPr>
          <w:p w:rsidR="00095608" w:rsidRPr="00D2244C" w:rsidRDefault="00095608" w:rsidP="00945E20">
            <w:pPr>
              <w:pStyle w:val="aff0"/>
              <w:spacing w:line="320" w:lineRule="exact"/>
              <w:rPr>
                <w:rFonts w:eastAsia="標楷體"/>
                <w:color w:val="auto"/>
                <w:szCs w:val="22"/>
              </w:rPr>
            </w:pPr>
          </w:p>
        </w:tc>
      </w:tr>
    </w:tbl>
    <w:p w:rsidR="00095608" w:rsidRPr="00D2244C" w:rsidRDefault="00931CCB" w:rsidP="00095608">
      <w:pPr>
        <w:pStyle w:val="af9"/>
        <w:rPr>
          <w:rFonts w:eastAsia="標楷體"/>
          <w:b w:val="0"/>
        </w:rPr>
      </w:pPr>
      <w:r w:rsidRPr="00DF2C4B">
        <w:rPr>
          <w:rFonts w:eastAsia="標楷體"/>
          <w:b w:val="0"/>
          <w:noProof/>
        </w:rPr>
        <w:drawing>
          <wp:anchor distT="0" distB="0" distL="114300" distR="114300" simplePos="0" relativeHeight="251659264" behindDoc="0" locked="0" layoutInCell="1" allowOverlap="1">
            <wp:simplePos x="0" y="0"/>
            <wp:positionH relativeFrom="column">
              <wp:posOffset>476526</wp:posOffset>
            </wp:positionH>
            <wp:positionV relativeFrom="paragraph">
              <wp:posOffset>31115</wp:posOffset>
            </wp:positionV>
            <wp:extent cx="5405377" cy="5753347"/>
            <wp:effectExtent l="0" t="0" r="5080" b="0"/>
            <wp:wrapNone/>
            <wp:docPr id="15"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4"/>
                    <pic:cNvPicPr>
                      <a:picLocks noChangeAspect="1"/>
                    </pic:cNvPicPr>
                  </pic:nvPicPr>
                  <pic:blipFill>
                    <a:blip r:embed="rId7" cstate="print"/>
                    <a:stretch>
                      <a:fillRect/>
                    </a:stretch>
                  </pic:blipFill>
                  <pic:spPr>
                    <a:xfrm>
                      <a:off x="0" y="0"/>
                      <a:ext cx="5405377" cy="5753347"/>
                    </a:xfrm>
                    <a:prstGeom prst="rect">
                      <a:avLst/>
                    </a:prstGeom>
                  </pic:spPr>
                </pic:pic>
              </a:graphicData>
            </a:graphic>
          </wp:anchor>
        </w:drawing>
      </w:r>
    </w:p>
    <w:p w:rsidR="00095608" w:rsidRPr="00D2244C" w:rsidRDefault="00095608" w:rsidP="00095608">
      <w:pPr>
        <w:pStyle w:val="af9"/>
        <w:rPr>
          <w:rFonts w:eastAsia="標楷體"/>
          <w:b w:val="0"/>
        </w:rPr>
      </w:pPr>
    </w:p>
    <w:p w:rsidR="00095608" w:rsidRPr="00D2244C" w:rsidRDefault="00095608" w:rsidP="00095608">
      <w:pPr>
        <w:pStyle w:val="af9"/>
        <w:rPr>
          <w:rFonts w:eastAsia="標楷體"/>
          <w:b w:val="0"/>
        </w:rPr>
      </w:pPr>
    </w:p>
    <w:p w:rsidR="00095608" w:rsidRPr="00D2244C" w:rsidRDefault="00095608" w:rsidP="00095608">
      <w:pPr>
        <w:pStyle w:val="af9"/>
        <w:rPr>
          <w:rFonts w:eastAsia="標楷體"/>
          <w:b w:val="0"/>
        </w:rPr>
      </w:pPr>
    </w:p>
    <w:p w:rsidR="00095608" w:rsidRPr="00D2244C" w:rsidRDefault="00095608" w:rsidP="00095608">
      <w:pPr>
        <w:pStyle w:val="af9"/>
        <w:rPr>
          <w:rFonts w:eastAsia="標楷體"/>
          <w:b w:val="0"/>
        </w:rPr>
      </w:pPr>
    </w:p>
    <w:p w:rsidR="00095608" w:rsidRDefault="00095608" w:rsidP="00095608">
      <w:pPr>
        <w:pStyle w:val="af9"/>
        <w:rPr>
          <w:rFonts w:eastAsia="標楷體"/>
          <w:b w:val="0"/>
        </w:rPr>
      </w:pPr>
    </w:p>
    <w:p w:rsidR="00095608" w:rsidRPr="00D2244C" w:rsidRDefault="00095608" w:rsidP="00095608">
      <w:pPr>
        <w:pStyle w:val="af9"/>
        <w:rPr>
          <w:rFonts w:eastAsia="標楷體"/>
          <w:b w:val="0"/>
        </w:rPr>
      </w:pPr>
    </w:p>
    <w:p w:rsidR="00095608" w:rsidRPr="00D2244C" w:rsidRDefault="00095608" w:rsidP="00095608">
      <w:pPr>
        <w:pStyle w:val="af9"/>
        <w:rPr>
          <w:rFonts w:eastAsia="標楷體"/>
          <w:b w:val="0"/>
        </w:rPr>
      </w:pPr>
    </w:p>
    <w:p w:rsidR="00095608" w:rsidRPr="00D2244C" w:rsidRDefault="00095608" w:rsidP="00095608">
      <w:pPr>
        <w:pStyle w:val="af9"/>
        <w:rPr>
          <w:rFonts w:eastAsia="標楷體"/>
          <w:b w:val="0"/>
        </w:rPr>
      </w:pPr>
    </w:p>
    <w:p w:rsidR="00095608" w:rsidRPr="00D2244C" w:rsidRDefault="00095608" w:rsidP="00095608">
      <w:pPr>
        <w:pStyle w:val="af9"/>
        <w:rPr>
          <w:rFonts w:eastAsia="標楷體"/>
          <w:b w:val="0"/>
        </w:rPr>
      </w:pPr>
    </w:p>
    <w:p w:rsidR="00095608" w:rsidRPr="00D2244C" w:rsidRDefault="00095608" w:rsidP="00095608">
      <w:pPr>
        <w:pStyle w:val="af9"/>
        <w:rPr>
          <w:rFonts w:eastAsia="標楷體"/>
          <w:b w:val="0"/>
        </w:rPr>
      </w:pPr>
    </w:p>
    <w:p w:rsidR="00095608" w:rsidRPr="00D2244C" w:rsidRDefault="00095608" w:rsidP="00095608">
      <w:pPr>
        <w:pStyle w:val="af9"/>
        <w:rPr>
          <w:rFonts w:eastAsia="標楷體"/>
          <w:b w:val="0"/>
        </w:rPr>
      </w:pPr>
    </w:p>
    <w:p w:rsidR="00095608" w:rsidRDefault="00095608" w:rsidP="00095608">
      <w:pPr>
        <w:pStyle w:val="af9"/>
        <w:rPr>
          <w:rFonts w:eastAsia="標楷體"/>
          <w:b w:val="0"/>
        </w:rPr>
      </w:pPr>
    </w:p>
    <w:p w:rsidR="00931CCB" w:rsidRDefault="00931CCB" w:rsidP="00095608">
      <w:pPr>
        <w:pStyle w:val="af9"/>
        <w:rPr>
          <w:rFonts w:eastAsia="標楷體"/>
          <w:b w:val="0"/>
        </w:rPr>
      </w:pPr>
    </w:p>
    <w:p w:rsidR="00931CCB" w:rsidRPr="00D2244C" w:rsidRDefault="00931CCB" w:rsidP="00095608">
      <w:pPr>
        <w:pStyle w:val="af9"/>
        <w:rPr>
          <w:rFonts w:eastAsia="標楷體"/>
          <w:b w:val="0"/>
        </w:rPr>
      </w:pPr>
    </w:p>
    <w:p w:rsidR="00095608" w:rsidRDefault="00095608" w:rsidP="00095608">
      <w:pPr>
        <w:pStyle w:val="af9"/>
        <w:rPr>
          <w:rFonts w:eastAsia="標楷體"/>
          <w:b w:val="0"/>
        </w:rPr>
      </w:pPr>
    </w:p>
    <w:p w:rsidR="00931CCB" w:rsidRPr="00D2244C" w:rsidRDefault="00931CCB" w:rsidP="00095608">
      <w:pPr>
        <w:pStyle w:val="af9"/>
        <w:rPr>
          <w:rFonts w:eastAsia="標楷體"/>
          <w:b w:val="0"/>
        </w:rPr>
      </w:pPr>
    </w:p>
    <w:p w:rsidR="00095608" w:rsidRPr="00D2244C" w:rsidRDefault="00095608" w:rsidP="00095608">
      <w:pPr>
        <w:pStyle w:val="af9"/>
        <w:rPr>
          <w:rFonts w:eastAsia="標楷體"/>
          <w:b w:val="0"/>
        </w:rPr>
      </w:pPr>
    </w:p>
    <w:p w:rsidR="00095608" w:rsidRPr="00D2244C" w:rsidRDefault="00095608" w:rsidP="00095608">
      <w:pPr>
        <w:pStyle w:val="af9"/>
        <w:rPr>
          <w:rFonts w:eastAsia="標楷體"/>
          <w:b w:val="0"/>
        </w:rPr>
      </w:pPr>
    </w:p>
    <w:p w:rsidR="00095608" w:rsidRPr="00D2244C" w:rsidRDefault="00095608" w:rsidP="00095608">
      <w:pPr>
        <w:pStyle w:val="af9"/>
        <w:rPr>
          <w:rFonts w:eastAsia="標楷體"/>
          <w:b w:val="0"/>
        </w:rPr>
      </w:pPr>
    </w:p>
    <w:p w:rsidR="00095608" w:rsidRPr="00D2244C" w:rsidRDefault="00095608" w:rsidP="00F902B8">
      <w:pPr>
        <w:pStyle w:val="afd"/>
        <w:spacing w:before="120" w:after="120"/>
        <w:rPr>
          <w:rFonts w:eastAsia="標楷體"/>
        </w:rPr>
      </w:pPr>
      <w:bookmarkStart w:id="32" w:name="_Toc484092189"/>
      <w:bookmarkStart w:id="33" w:name="_Toc484101494"/>
      <w:bookmarkStart w:id="34" w:name="_Toc484178845"/>
      <w:bookmarkStart w:id="35" w:name="_Toc486253224"/>
      <w:bookmarkStart w:id="36" w:name="_Toc486319612"/>
      <w:bookmarkStart w:id="37" w:name="_Toc486319972"/>
      <w:bookmarkStart w:id="38" w:name="_Toc486340151"/>
      <w:bookmarkStart w:id="39" w:name="_Toc487821591"/>
      <w:r w:rsidRPr="00D2244C">
        <w:rPr>
          <w:rFonts w:eastAsia="標楷體"/>
        </w:rPr>
        <w:t>圖</w:t>
      </w:r>
      <w:r w:rsidR="001405E8">
        <w:rPr>
          <w:rFonts w:eastAsia="標楷體"/>
        </w:rPr>
        <w:t>1</w:t>
      </w:r>
      <w:r w:rsidRPr="00D2244C">
        <w:rPr>
          <w:rFonts w:eastAsia="標楷體"/>
        </w:rPr>
        <w:t xml:space="preserve">  </w:t>
      </w:r>
      <w:r w:rsidRPr="00D2244C">
        <w:rPr>
          <w:rFonts w:eastAsia="標楷體"/>
        </w:rPr>
        <w:t>變更後容積提升申請建築及代金繳納程序</w:t>
      </w:r>
      <w:bookmarkEnd w:id="32"/>
      <w:bookmarkEnd w:id="33"/>
      <w:bookmarkEnd w:id="34"/>
      <w:bookmarkEnd w:id="35"/>
      <w:bookmarkEnd w:id="36"/>
      <w:bookmarkEnd w:id="37"/>
      <w:bookmarkEnd w:id="38"/>
      <w:bookmarkEnd w:id="39"/>
      <w:r w:rsidRPr="00D2244C">
        <w:rPr>
          <w:rFonts w:eastAsia="標楷體"/>
        </w:rPr>
        <w:br w:type="page"/>
      </w:r>
    </w:p>
    <w:p w:rsidR="00095608" w:rsidRPr="00D2244C" w:rsidRDefault="001405E8" w:rsidP="001405E8">
      <w:pPr>
        <w:pStyle w:val="af9"/>
        <w:ind w:leftChars="200" w:left="480" w:firstLine="0"/>
        <w:rPr>
          <w:rFonts w:eastAsia="標楷體"/>
        </w:rPr>
      </w:pPr>
      <w:bookmarkStart w:id="40" w:name="_Toc486253225"/>
      <w:bookmarkStart w:id="41" w:name="_Toc486319613"/>
      <w:bookmarkStart w:id="42" w:name="_Toc486319973"/>
      <w:bookmarkStart w:id="43" w:name="_Toc486340152"/>
      <w:bookmarkStart w:id="44" w:name="_Toc487821562"/>
      <w:bookmarkStart w:id="45" w:name="_Toc487821592"/>
      <w:r>
        <w:rPr>
          <w:rFonts w:eastAsia="標楷體" w:hint="eastAsia"/>
        </w:rPr>
        <w:lastRenderedPageBreak/>
        <w:t>（二）</w:t>
      </w:r>
      <w:r w:rsidR="005A54A2">
        <w:rPr>
          <w:rFonts w:eastAsia="標楷體" w:hint="eastAsia"/>
        </w:rPr>
        <w:t>變更後</w:t>
      </w:r>
      <w:r w:rsidR="00095608" w:rsidRPr="00D2244C">
        <w:rPr>
          <w:rFonts w:eastAsia="標楷體"/>
        </w:rPr>
        <w:t>土地使用分區管制要點</w:t>
      </w:r>
      <w:bookmarkEnd w:id="40"/>
      <w:bookmarkEnd w:id="41"/>
      <w:bookmarkEnd w:id="42"/>
      <w:bookmarkEnd w:id="43"/>
      <w:bookmarkEnd w:id="44"/>
      <w:bookmarkEnd w:id="45"/>
    </w:p>
    <w:p w:rsidR="00095608" w:rsidRPr="001405E8" w:rsidRDefault="00095608" w:rsidP="001405E8">
      <w:pPr>
        <w:pStyle w:val="af9"/>
        <w:ind w:leftChars="200" w:left="480" w:firstLine="0"/>
        <w:rPr>
          <w:rFonts w:eastAsia="標楷體"/>
          <w:b w:val="0"/>
        </w:rPr>
      </w:pPr>
      <w:bookmarkStart w:id="46" w:name="_Toc486253226"/>
      <w:bookmarkStart w:id="47" w:name="_Toc486319614"/>
      <w:bookmarkStart w:id="48" w:name="_Toc486319974"/>
      <w:bookmarkStart w:id="49" w:name="_Toc486340153"/>
      <w:bookmarkStart w:id="50" w:name="_Toc487821563"/>
      <w:bookmarkStart w:id="51" w:name="_Toc487821593"/>
      <w:r w:rsidRPr="001405E8">
        <w:rPr>
          <w:rFonts w:eastAsia="標楷體"/>
          <w:b w:val="0"/>
        </w:rPr>
        <w:t>【貳、乙種工業區（工七）管制要點】</w:t>
      </w:r>
      <w:bookmarkEnd w:id="46"/>
      <w:bookmarkEnd w:id="47"/>
      <w:bookmarkEnd w:id="48"/>
      <w:bookmarkEnd w:id="49"/>
      <w:bookmarkEnd w:id="50"/>
      <w:bookmarkEnd w:id="51"/>
    </w:p>
    <w:p w:rsidR="00931CCB" w:rsidRPr="00931CCB" w:rsidRDefault="00931CCB" w:rsidP="00931CCB">
      <w:pPr>
        <w:pStyle w:val="aff7"/>
        <w:ind w:leftChars="200" w:left="1320" w:hangingChars="350" w:hanging="840"/>
        <w:jc w:val="both"/>
        <w:rPr>
          <w:rFonts w:eastAsia="標楷體" w:cs="Times New Roman"/>
        </w:rPr>
      </w:pPr>
      <w:r w:rsidRPr="00931CCB">
        <w:rPr>
          <w:rFonts w:eastAsia="標楷體" w:cs="Times New Roman" w:hint="eastAsia"/>
        </w:rPr>
        <w:t>第</w:t>
      </w:r>
      <w:r w:rsidRPr="00931CCB">
        <w:rPr>
          <w:rFonts w:eastAsia="標楷體" w:cs="Times New Roman" w:hint="eastAsia"/>
        </w:rPr>
        <w:t xml:space="preserve"> 3 </w:t>
      </w:r>
      <w:r w:rsidRPr="00931CCB">
        <w:rPr>
          <w:rFonts w:eastAsia="標楷體" w:cs="Times New Roman" w:hint="eastAsia"/>
        </w:rPr>
        <w:t>條</w:t>
      </w:r>
      <w:r w:rsidRPr="00931CCB">
        <w:rPr>
          <w:rFonts w:eastAsia="標楷體" w:cs="Times New Roman" w:hint="eastAsia"/>
        </w:rPr>
        <w:t xml:space="preserve">  </w:t>
      </w:r>
      <w:r w:rsidRPr="00931CCB">
        <w:rPr>
          <w:rFonts w:eastAsia="標楷體" w:cs="Times New Roman" w:hint="eastAsia"/>
        </w:rPr>
        <w:t>乙種工業區（工七）之建蔽率及容積率不得超過</w:t>
      </w:r>
      <w:r w:rsidRPr="00931CCB">
        <w:rPr>
          <w:rFonts w:eastAsia="標楷體" w:cs="Times New Roman" w:hint="eastAsia"/>
        </w:rPr>
        <w:t>60%</w:t>
      </w:r>
      <w:r w:rsidRPr="00931CCB">
        <w:rPr>
          <w:rFonts w:eastAsia="標楷體" w:cs="Times New Roman" w:hint="eastAsia"/>
        </w:rPr>
        <w:t>及</w:t>
      </w:r>
      <w:r w:rsidRPr="00931CCB">
        <w:rPr>
          <w:rFonts w:eastAsia="標楷體" w:cs="Times New Roman" w:hint="eastAsia"/>
        </w:rPr>
        <w:t>400%</w:t>
      </w:r>
      <w:r w:rsidRPr="00931CCB">
        <w:rPr>
          <w:rFonts w:eastAsia="標楷體" w:cs="Times New Roman" w:hint="eastAsia"/>
        </w:rPr>
        <w:t>。惟區內個案建築基地容積率可提高至</w:t>
      </w:r>
      <w:r w:rsidRPr="00931CCB">
        <w:rPr>
          <w:rFonts w:eastAsia="標楷體" w:cs="Times New Roman" w:hint="eastAsia"/>
        </w:rPr>
        <w:t>490%</w:t>
      </w:r>
      <w:r w:rsidRPr="00931CCB">
        <w:rPr>
          <w:rFonts w:eastAsia="標楷體" w:cs="Times New Roman" w:hint="eastAsia"/>
        </w:rPr>
        <w:t>，但各基地申請增加容積總和不得超過全區容積總增量之上限值，計</w:t>
      </w:r>
      <w:r w:rsidRPr="00931CCB">
        <w:rPr>
          <w:rFonts w:eastAsia="標楷體" w:cs="Times New Roman" w:hint="eastAsia"/>
        </w:rPr>
        <w:t>690,000</w:t>
      </w:r>
      <w:r w:rsidRPr="00931CCB">
        <w:rPr>
          <w:rFonts w:eastAsia="標楷體" w:cs="Times New Roman" w:hint="eastAsia"/>
        </w:rPr>
        <w:t>平方公尺。</w:t>
      </w:r>
    </w:p>
    <w:p w:rsidR="00931CCB" w:rsidRPr="00931CCB" w:rsidRDefault="00931CCB" w:rsidP="00931CCB">
      <w:pPr>
        <w:pStyle w:val="aff7"/>
        <w:ind w:leftChars="200" w:left="1320" w:hangingChars="350" w:hanging="840"/>
        <w:jc w:val="both"/>
        <w:rPr>
          <w:rFonts w:eastAsia="標楷體" w:cs="Times New Roman"/>
        </w:rPr>
      </w:pPr>
      <w:r w:rsidRPr="00931CCB">
        <w:rPr>
          <w:rFonts w:eastAsia="標楷體" w:cs="Times New Roman" w:hint="eastAsia"/>
        </w:rPr>
        <w:t>第</w:t>
      </w:r>
      <w:r w:rsidRPr="00931CCB">
        <w:rPr>
          <w:rFonts w:eastAsia="標楷體" w:cs="Times New Roman" w:hint="eastAsia"/>
        </w:rPr>
        <w:t xml:space="preserve"> 4 </w:t>
      </w:r>
      <w:r w:rsidRPr="00931CCB">
        <w:rPr>
          <w:rFonts w:eastAsia="標楷體" w:cs="Times New Roman" w:hint="eastAsia"/>
        </w:rPr>
        <w:t>條</w:t>
      </w:r>
      <w:r w:rsidRPr="00931CCB">
        <w:rPr>
          <w:rFonts w:eastAsia="標楷體" w:cs="Times New Roman" w:hint="eastAsia"/>
        </w:rPr>
        <w:t xml:space="preserve">  </w:t>
      </w:r>
      <w:r w:rsidRPr="00931CCB">
        <w:rPr>
          <w:rFonts w:eastAsia="標楷體" w:cs="Times New Roman" w:hint="eastAsia"/>
        </w:rPr>
        <w:t>未來建築基地開發時，申請建築容積率超過</w:t>
      </w:r>
      <w:r w:rsidRPr="00931CCB">
        <w:rPr>
          <w:rFonts w:eastAsia="標楷體" w:cs="Times New Roman" w:hint="eastAsia"/>
        </w:rPr>
        <w:t>300%</w:t>
      </w:r>
      <w:r w:rsidRPr="00931CCB">
        <w:rPr>
          <w:rFonts w:eastAsia="標楷體" w:cs="Times New Roman" w:hint="eastAsia"/>
        </w:rPr>
        <w:t>者，須依程序負擔抵繳代金後，始得申請建築執照；有關變更負擔代金之計算方式及程序請參見事業及財務計畫【乙種工業區（工七）之變更負擔回饋規定】辦理。</w:t>
      </w:r>
    </w:p>
    <w:p w:rsidR="00931CCB" w:rsidRPr="00931CCB" w:rsidRDefault="00931CCB" w:rsidP="00931CCB">
      <w:pPr>
        <w:pStyle w:val="aff7"/>
        <w:ind w:leftChars="200" w:left="1320" w:hangingChars="350" w:hanging="840"/>
        <w:jc w:val="both"/>
        <w:rPr>
          <w:rFonts w:eastAsia="標楷體" w:cs="Times New Roman"/>
        </w:rPr>
      </w:pPr>
      <w:r w:rsidRPr="00931CCB">
        <w:rPr>
          <w:rFonts w:eastAsia="標楷體" w:cs="Times New Roman" w:hint="eastAsia"/>
        </w:rPr>
        <w:t>第</w:t>
      </w:r>
      <w:r w:rsidRPr="00931CCB">
        <w:rPr>
          <w:rFonts w:eastAsia="標楷體" w:cs="Times New Roman" w:hint="eastAsia"/>
        </w:rPr>
        <w:t xml:space="preserve"> 5 </w:t>
      </w:r>
      <w:r w:rsidRPr="00931CCB">
        <w:rPr>
          <w:rFonts w:eastAsia="標楷體" w:cs="Times New Roman" w:hint="eastAsia"/>
        </w:rPr>
        <w:t>條</w:t>
      </w:r>
      <w:r w:rsidRPr="00931CCB">
        <w:rPr>
          <w:rFonts w:eastAsia="標楷體" w:cs="Times New Roman" w:hint="eastAsia"/>
        </w:rPr>
        <w:t xml:space="preserve">  </w:t>
      </w:r>
      <w:r w:rsidRPr="00931CCB">
        <w:rPr>
          <w:rFonts w:eastAsia="標楷體" w:cs="Times New Roman" w:hint="eastAsia"/>
        </w:rPr>
        <w:t>總容積增量應回饋負擔部分，經由容積調配取得之</w:t>
      </w:r>
      <w:r w:rsidRPr="00931CCB">
        <w:rPr>
          <w:rFonts w:eastAsia="標楷體" w:cs="Times New Roman" w:hint="eastAsia"/>
        </w:rPr>
        <w:t>132,736</w:t>
      </w:r>
      <w:r w:rsidRPr="00931CCB">
        <w:rPr>
          <w:rFonts w:eastAsia="標楷體" w:cs="Times New Roman" w:hint="eastAsia"/>
        </w:rPr>
        <w:t>平方公尺增量容積，應優先依前條規定之代金計算方式</w:t>
      </w:r>
      <w:proofErr w:type="gramStart"/>
      <w:r w:rsidRPr="00931CCB">
        <w:rPr>
          <w:rFonts w:eastAsia="標楷體" w:cs="Times New Roman" w:hint="eastAsia"/>
        </w:rPr>
        <w:t>抵繳予經濟部加工出口區管理處</w:t>
      </w:r>
      <w:proofErr w:type="gramEnd"/>
      <w:r w:rsidRPr="00931CCB">
        <w:rPr>
          <w:rFonts w:eastAsia="標楷體" w:cs="Times New Roman" w:hint="eastAsia"/>
        </w:rPr>
        <w:t>，</w:t>
      </w:r>
      <w:proofErr w:type="gramStart"/>
      <w:r w:rsidRPr="00931CCB">
        <w:rPr>
          <w:rFonts w:eastAsia="標楷體" w:cs="Times New Roman" w:hint="eastAsia"/>
        </w:rPr>
        <w:t>俟</w:t>
      </w:r>
      <w:proofErr w:type="gramEnd"/>
      <w:r w:rsidRPr="00931CCB">
        <w:rPr>
          <w:rFonts w:eastAsia="標楷體" w:cs="Times New Roman" w:hint="eastAsia"/>
        </w:rPr>
        <w:t>代金抵繳完竣後，剩餘之增量容積則依都市計畫法第</w:t>
      </w:r>
      <w:r w:rsidRPr="00931CCB">
        <w:rPr>
          <w:rFonts w:eastAsia="標楷體" w:cs="Times New Roman" w:hint="eastAsia"/>
        </w:rPr>
        <w:t>27</w:t>
      </w:r>
      <w:r w:rsidRPr="00931CCB">
        <w:rPr>
          <w:rFonts w:eastAsia="標楷體" w:cs="Times New Roman" w:hint="eastAsia"/>
        </w:rPr>
        <w:t>條之</w:t>
      </w:r>
      <w:r w:rsidRPr="00931CCB">
        <w:rPr>
          <w:rFonts w:eastAsia="標楷體" w:cs="Times New Roman" w:hint="eastAsia"/>
        </w:rPr>
        <w:t>1</w:t>
      </w:r>
      <w:r w:rsidRPr="00931CCB">
        <w:rPr>
          <w:rFonts w:eastAsia="標楷體" w:cs="Times New Roman" w:hint="eastAsia"/>
        </w:rPr>
        <w:t>規定，除</w:t>
      </w:r>
      <w:proofErr w:type="gramStart"/>
      <w:r w:rsidRPr="00931CCB">
        <w:rPr>
          <w:rFonts w:eastAsia="標楷體" w:cs="Times New Roman" w:hint="eastAsia"/>
        </w:rPr>
        <w:t>採</w:t>
      </w:r>
      <w:proofErr w:type="gramEnd"/>
      <w:r w:rsidRPr="00931CCB">
        <w:rPr>
          <w:rFonts w:eastAsia="標楷體" w:cs="Times New Roman" w:hint="eastAsia"/>
        </w:rPr>
        <w:t>繳納代金方式予高雄市政府外，得以捐贈公共設施用地方式辦理。</w:t>
      </w:r>
    </w:p>
    <w:p w:rsidR="00095608" w:rsidRPr="00D2244C" w:rsidRDefault="00931CCB" w:rsidP="00931CCB">
      <w:pPr>
        <w:pStyle w:val="aff7"/>
        <w:ind w:leftChars="200" w:left="1320" w:hangingChars="350" w:hanging="840"/>
        <w:jc w:val="both"/>
        <w:rPr>
          <w:rFonts w:eastAsia="標楷體" w:cs="Times New Roman"/>
        </w:rPr>
      </w:pPr>
      <w:r w:rsidRPr="00931CCB">
        <w:rPr>
          <w:rFonts w:eastAsia="標楷體" w:cs="Times New Roman" w:hint="eastAsia"/>
        </w:rPr>
        <w:t>第</w:t>
      </w:r>
      <w:r w:rsidRPr="00931CCB">
        <w:rPr>
          <w:rFonts w:eastAsia="標楷體" w:cs="Times New Roman" w:hint="eastAsia"/>
        </w:rPr>
        <w:t xml:space="preserve"> 6 </w:t>
      </w:r>
      <w:r w:rsidRPr="00931CCB">
        <w:rPr>
          <w:rFonts w:eastAsia="標楷體" w:cs="Times New Roman" w:hint="eastAsia"/>
        </w:rPr>
        <w:t>條</w:t>
      </w:r>
      <w:r w:rsidRPr="00931CCB">
        <w:rPr>
          <w:rFonts w:eastAsia="標楷體" w:cs="Times New Roman" w:hint="eastAsia"/>
        </w:rPr>
        <w:t xml:space="preserve">  </w:t>
      </w:r>
      <w:r w:rsidRPr="00931CCB">
        <w:rPr>
          <w:rFonts w:eastAsia="標楷體" w:cs="Times New Roman" w:hint="eastAsia"/>
        </w:rPr>
        <w:t>本區容積率未超過</w:t>
      </w:r>
      <w:r w:rsidRPr="00931CCB">
        <w:rPr>
          <w:rFonts w:eastAsia="標楷體" w:cs="Times New Roman" w:hint="eastAsia"/>
        </w:rPr>
        <w:t>300%</w:t>
      </w:r>
      <w:r w:rsidRPr="00931CCB">
        <w:rPr>
          <w:rFonts w:eastAsia="標楷體" w:cs="Times New Roman" w:hint="eastAsia"/>
        </w:rPr>
        <w:t>者之申請建築程序，仍依現行體制由加工出口區管理處依據「加工出口區設置管理條例」及其相關法令規定辦理。</w:t>
      </w:r>
      <w:bookmarkStart w:id="52" w:name="_GoBack"/>
      <w:bookmarkEnd w:id="52"/>
    </w:p>
    <w:p w:rsidR="00095608" w:rsidRPr="00D2244C" w:rsidRDefault="00095608" w:rsidP="00095608">
      <w:pPr>
        <w:pStyle w:val="aff7"/>
        <w:ind w:left="1320" w:hangingChars="450" w:hanging="1080"/>
        <w:jc w:val="both"/>
        <w:rPr>
          <w:rFonts w:eastAsia="標楷體" w:cs="Times New Roman"/>
        </w:rPr>
      </w:pPr>
    </w:p>
    <w:p w:rsidR="001133CE" w:rsidRPr="00095608" w:rsidRDefault="001133CE" w:rsidP="001133CE">
      <w:pPr>
        <w:pStyle w:val="Standard"/>
        <w:spacing w:line="300" w:lineRule="atLeast"/>
        <w:ind w:left="1259" w:hanging="1259"/>
        <w:rPr>
          <w:rFonts w:eastAsia="標楷體"/>
          <w:szCs w:val="24"/>
        </w:rPr>
      </w:pPr>
    </w:p>
    <w:p w:rsidR="001133CE" w:rsidRDefault="001133CE" w:rsidP="001133CE">
      <w:pPr>
        <w:pStyle w:val="Standard"/>
        <w:spacing w:line="300" w:lineRule="atLeast"/>
        <w:ind w:left="1259" w:hanging="1259"/>
        <w:rPr>
          <w:rFonts w:eastAsia="標楷體"/>
          <w:szCs w:val="24"/>
        </w:rPr>
      </w:pPr>
    </w:p>
    <w:p w:rsidR="001133CE" w:rsidRDefault="001133CE" w:rsidP="001133CE">
      <w:pPr>
        <w:pStyle w:val="Standard"/>
        <w:spacing w:line="300" w:lineRule="atLeast"/>
        <w:ind w:left="1259" w:hanging="1259"/>
        <w:rPr>
          <w:rFonts w:eastAsia="標楷體"/>
          <w:szCs w:val="24"/>
        </w:rPr>
      </w:pPr>
    </w:p>
    <w:p w:rsidR="001133CE" w:rsidRDefault="001133CE" w:rsidP="001133CE">
      <w:pPr>
        <w:pStyle w:val="Standard"/>
        <w:spacing w:line="300" w:lineRule="atLeast"/>
        <w:ind w:left="1259" w:hanging="1259"/>
        <w:rPr>
          <w:rFonts w:eastAsia="標楷體"/>
          <w:szCs w:val="24"/>
        </w:rPr>
      </w:pPr>
    </w:p>
    <w:p w:rsidR="001133CE" w:rsidRDefault="001133CE" w:rsidP="001133CE">
      <w:pPr>
        <w:pStyle w:val="Standard"/>
        <w:spacing w:line="300" w:lineRule="atLeast"/>
        <w:ind w:left="1259" w:hanging="1259"/>
        <w:rPr>
          <w:rFonts w:eastAsia="標楷體"/>
          <w:szCs w:val="24"/>
        </w:rPr>
      </w:pPr>
    </w:p>
    <w:p w:rsidR="001133CE" w:rsidRDefault="001133CE" w:rsidP="001133CE">
      <w:pPr>
        <w:pStyle w:val="Standard"/>
        <w:spacing w:line="300" w:lineRule="atLeast"/>
        <w:ind w:left="1259" w:hanging="1259"/>
        <w:rPr>
          <w:rFonts w:eastAsia="標楷體"/>
          <w:szCs w:val="24"/>
        </w:rPr>
      </w:pPr>
    </w:p>
    <w:p w:rsidR="001133CE" w:rsidRDefault="001133CE" w:rsidP="001133CE">
      <w:pPr>
        <w:pStyle w:val="Standard"/>
        <w:spacing w:line="300" w:lineRule="atLeast"/>
        <w:ind w:left="1259" w:hanging="1259"/>
        <w:rPr>
          <w:rFonts w:eastAsia="標楷體"/>
          <w:szCs w:val="24"/>
        </w:rPr>
      </w:pPr>
    </w:p>
    <w:p w:rsidR="001133CE" w:rsidRDefault="001133CE" w:rsidP="001133CE">
      <w:pPr>
        <w:pStyle w:val="Standard"/>
        <w:spacing w:line="300" w:lineRule="atLeast"/>
        <w:ind w:left="1259" w:hanging="1259"/>
        <w:rPr>
          <w:rFonts w:eastAsia="標楷體"/>
          <w:szCs w:val="24"/>
        </w:rPr>
      </w:pPr>
    </w:p>
    <w:p w:rsidR="001133CE" w:rsidRDefault="001133CE" w:rsidP="001133CE">
      <w:pPr>
        <w:pStyle w:val="Standard"/>
        <w:spacing w:line="300" w:lineRule="atLeast"/>
        <w:ind w:left="1259" w:hanging="1259"/>
        <w:rPr>
          <w:rFonts w:eastAsia="標楷體"/>
          <w:szCs w:val="24"/>
        </w:rPr>
      </w:pPr>
    </w:p>
    <w:p w:rsidR="001133CE" w:rsidRDefault="001133CE" w:rsidP="001133CE">
      <w:pPr>
        <w:pStyle w:val="Standard"/>
        <w:spacing w:line="300" w:lineRule="atLeast"/>
        <w:ind w:left="1259" w:hanging="1259"/>
        <w:rPr>
          <w:rFonts w:eastAsia="標楷體"/>
          <w:szCs w:val="24"/>
        </w:rPr>
      </w:pPr>
    </w:p>
    <w:p w:rsidR="001133CE" w:rsidRDefault="001133CE" w:rsidP="001133CE">
      <w:pPr>
        <w:pStyle w:val="Standard"/>
        <w:spacing w:line="300" w:lineRule="atLeast"/>
        <w:ind w:left="1259" w:hanging="1259"/>
        <w:rPr>
          <w:rFonts w:eastAsia="標楷體"/>
          <w:szCs w:val="24"/>
        </w:rPr>
      </w:pPr>
    </w:p>
    <w:p w:rsidR="001133CE" w:rsidRPr="00382B7F" w:rsidRDefault="001133CE" w:rsidP="001133CE">
      <w:pPr>
        <w:pStyle w:val="Standard"/>
        <w:spacing w:line="300" w:lineRule="atLeast"/>
        <w:ind w:left="1259" w:hanging="1259"/>
        <w:rPr>
          <w:rFonts w:eastAsia="標楷體"/>
          <w:szCs w:val="24"/>
        </w:rPr>
      </w:pPr>
    </w:p>
    <w:sectPr w:rsidR="001133CE" w:rsidRPr="00382B7F" w:rsidSect="00382B7F">
      <w:footerReference w:type="default" r:id="rId8"/>
      <w:pgSz w:w="11906" w:h="16838"/>
      <w:pgMar w:top="1134" w:right="1134" w:bottom="1134" w:left="1134" w:header="454"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870" w:rsidRDefault="00D75870">
      <w:r>
        <w:separator/>
      </w:r>
    </w:p>
  </w:endnote>
  <w:endnote w:type="continuationSeparator" w:id="0">
    <w:p w:rsidR="00D75870" w:rsidRDefault="00D75870">
      <w:r>
        <w:continuationSeparator/>
      </w:r>
    </w:p>
  </w:endnote>
</w:endnotes>
</file>

<file path=word/fontTable.xml><?xml version="1.0" encoding="utf-8"?>
<w:fonts xmlns:r="http://schemas.openxmlformats.org/officeDocument/2006/relationships" xmlns:w="http://schemas.openxmlformats.org/wordprocessingml/2006/main">
  <w:font w:name="華康中楷體, 'Arial Unicode MS'">
    <w:altName w:val="Arial"/>
    <w:charset w:val="00"/>
    <w:family w:val="modern"/>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華康中楷體, '@Arial Unicode MS'">
    <w:charset w:val="88"/>
    <w:family w:val="modern"/>
    <w:pitch w:val="default"/>
    <w:sig w:usb0="00000000" w:usb1="00000000" w:usb2="00000000" w:usb3="00000000" w:csb0="00000000" w:csb1="00000000"/>
  </w:font>
  <w:font w:name="華康中楷體">
    <w:altName w:val="Arial Unicode MS"/>
    <w:charset w:val="88"/>
    <w:family w:val="modern"/>
    <w:pitch w:val="fixed"/>
    <w:sig w:usb0="00000000" w:usb1="08080000" w:usb2="00000010" w:usb3="00000000" w:csb0="00100000" w:csb1="00000000"/>
  </w:font>
  <w:font w:name="華康中黑體">
    <w:charset w:val="88"/>
    <w:family w:val="modern"/>
    <w:pitch w:val="fixed"/>
    <w:sig w:usb0="F1002BFF" w:usb1="29DFFFFF" w:usb2="00000037" w:usb3="00000000" w:csb0="003F00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1D" w:rsidRDefault="000C1E98">
    <w:pPr>
      <w:pStyle w:val="a5"/>
      <w:jc w:val="center"/>
    </w:pPr>
    <w:r>
      <w:fldChar w:fldCharType="begin"/>
    </w:r>
    <w:r w:rsidR="00470BEB">
      <w:instrText xml:space="preserve"> PAGE </w:instrText>
    </w:r>
    <w:r>
      <w:fldChar w:fldCharType="separate"/>
    </w:r>
    <w:r w:rsidR="00D60812">
      <w:rPr>
        <w:noProof/>
      </w:rPr>
      <w:t>1</w:t>
    </w:r>
    <w:r>
      <w:fldChar w:fldCharType="end"/>
    </w:r>
  </w:p>
  <w:p w:rsidR="00027F1D" w:rsidRDefault="00D75870">
    <w:pPr>
      <w:pStyle w:val="a5"/>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870" w:rsidRDefault="00D75870">
      <w:r>
        <w:rPr>
          <w:color w:val="000000"/>
        </w:rPr>
        <w:separator/>
      </w:r>
    </w:p>
  </w:footnote>
  <w:footnote w:type="continuationSeparator" w:id="0">
    <w:p w:rsidR="00D75870" w:rsidRDefault="00D758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8BC"/>
    <w:multiLevelType w:val="multilevel"/>
    <w:tmpl w:val="3340A776"/>
    <w:styleLink w:val="WW8Num7"/>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C931E97"/>
    <w:multiLevelType w:val="multilevel"/>
    <w:tmpl w:val="568474E8"/>
    <w:styleLink w:val="WW8Num1"/>
    <w:lvl w:ilvl="0">
      <w:start w:val="1"/>
      <w:numFmt w:val="decimal"/>
      <w:lvlText w:val="%1."/>
      <w:lvlJc w:val="left"/>
      <w:pPr>
        <w:ind w:left="284" w:hanging="284"/>
      </w:pPr>
      <w:rPr>
        <w:rFonts w:ascii="華康中楷體, 'Arial Unicode MS'" w:eastAsia="華康中楷體, 'Arial Unicode MS'" w:hAnsi="華康中楷體, 'Arial Unicode MS'"/>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FE27692"/>
    <w:multiLevelType w:val="multilevel"/>
    <w:tmpl w:val="3A36858E"/>
    <w:styleLink w:val="WW8Num6"/>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4201419"/>
    <w:multiLevelType w:val="multilevel"/>
    <w:tmpl w:val="6CD82FE4"/>
    <w:styleLink w:val="WW8Num10"/>
    <w:lvl w:ilvl="0">
      <w:start w:val="1"/>
      <w:numFmt w:val="decimal"/>
      <w:lvlText w:val="%1."/>
      <w:lvlJc w:val="left"/>
      <w:pPr>
        <w:ind w:left="284" w:hanging="284"/>
      </w:pPr>
      <w:rPr>
        <w:rFonts w:ascii="華康中楷體, 'Arial Unicode MS'" w:eastAsia="華康中楷體, 'Arial Unicode MS'" w:hAnsi="華康中楷體, 'Arial Unicode MS'"/>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D0F6614"/>
    <w:multiLevelType w:val="multilevel"/>
    <w:tmpl w:val="9D483F0E"/>
    <w:styleLink w:val="WW8Num9"/>
    <w:lvl w:ilvl="0">
      <w:start w:val="1"/>
      <w:numFmt w:val="decimal"/>
      <w:lvlText w:val="%1."/>
      <w:lvlJc w:val="left"/>
      <w:pPr>
        <w:ind w:left="255" w:hanging="255"/>
      </w:pPr>
      <w:rPr>
        <w:rFonts w:ascii="華康中楷體, 'Arial Unicode MS'" w:hAnsi="華康中楷體, 'Arial Unicode M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51C43FA"/>
    <w:multiLevelType w:val="multilevel"/>
    <w:tmpl w:val="166A64F8"/>
    <w:styleLink w:val="WW8Num2"/>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DDA1999"/>
    <w:multiLevelType w:val="multilevel"/>
    <w:tmpl w:val="7F4620B2"/>
    <w:styleLink w:val="WW8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0ED523E"/>
    <w:multiLevelType w:val="multilevel"/>
    <w:tmpl w:val="C2C2418C"/>
    <w:styleLink w:val="WW8Num5"/>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48C178A"/>
    <w:multiLevelType w:val="multilevel"/>
    <w:tmpl w:val="7E9EE630"/>
    <w:styleLink w:val="WW8Num8"/>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7ABF4759"/>
    <w:multiLevelType w:val="multilevel"/>
    <w:tmpl w:val="DFD46C20"/>
    <w:styleLink w:val="WW8Num3"/>
    <w:lvl w:ilvl="0">
      <w:start w:val="1"/>
      <w:numFmt w:val="decimal"/>
      <w:lvlText w:val="%1."/>
      <w:lvlJc w:val="left"/>
      <w:pPr>
        <w:ind w:left="255" w:hanging="255"/>
      </w:pPr>
      <w:rPr>
        <w:rFonts w:ascii="華康中楷體, 'Arial Unicode MS'" w:hAnsi="華康中楷體, 'Arial Unicode M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5"/>
  </w:num>
  <w:num w:numId="3">
    <w:abstractNumId w:val="9"/>
  </w:num>
  <w:num w:numId="4">
    <w:abstractNumId w:val="6"/>
  </w:num>
  <w:num w:numId="5">
    <w:abstractNumId w:val="7"/>
  </w:num>
  <w:num w:numId="6">
    <w:abstractNumId w:val="2"/>
  </w:num>
  <w:num w:numId="7">
    <w:abstractNumId w:val="0"/>
  </w:num>
  <w:num w:numId="8">
    <w:abstractNumId w:val="8"/>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6146"/>
  </w:hdrShapeDefaults>
  <w:footnotePr>
    <w:footnote w:id="-1"/>
    <w:footnote w:id="0"/>
  </w:footnotePr>
  <w:endnotePr>
    <w:endnote w:id="-1"/>
    <w:endnote w:id="0"/>
  </w:endnotePr>
  <w:compat>
    <w:useFELayout/>
  </w:compat>
  <w:rsids>
    <w:rsidRoot w:val="00A036BA"/>
    <w:rsid w:val="00095608"/>
    <w:rsid w:val="000C1E98"/>
    <w:rsid w:val="000D0811"/>
    <w:rsid w:val="000D6470"/>
    <w:rsid w:val="0010043D"/>
    <w:rsid w:val="001133CE"/>
    <w:rsid w:val="001405E8"/>
    <w:rsid w:val="00382B7F"/>
    <w:rsid w:val="00470BEB"/>
    <w:rsid w:val="004A305A"/>
    <w:rsid w:val="005A54A2"/>
    <w:rsid w:val="00632DCA"/>
    <w:rsid w:val="006400D1"/>
    <w:rsid w:val="00677C5A"/>
    <w:rsid w:val="00902AEA"/>
    <w:rsid w:val="00931CCB"/>
    <w:rsid w:val="00A036BA"/>
    <w:rsid w:val="00A47412"/>
    <w:rsid w:val="00B1626F"/>
    <w:rsid w:val="00B4282D"/>
    <w:rsid w:val="00D60812"/>
    <w:rsid w:val="00D75870"/>
    <w:rsid w:val="00F902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7412"/>
    <w:pPr>
      <w:spacing w:line="360" w:lineRule="atLeast"/>
    </w:pPr>
    <w:rPr>
      <w:rFonts w:ascii="Times New Roman" w:eastAsia="新細明體, PMingLiU" w:hAnsi="Times New Roman" w:cs="Times New Roman"/>
      <w:szCs w:val="20"/>
      <w:lang w:bidi="ar-SA"/>
    </w:rPr>
  </w:style>
  <w:style w:type="paragraph" w:customStyle="1" w:styleId="Heading">
    <w:name w:val="Heading"/>
    <w:basedOn w:val="Standard"/>
    <w:next w:val="Textbody"/>
    <w:rsid w:val="00A47412"/>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A47412"/>
    <w:pPr>
      <w:spacing w:after="120"/>
    </w:pPr>
  </w:style>
  <w:style w:type="paragraph" w:styleId="a3">
    <w:name w:val="List"/>
    <w:basedOn w:val="Textbody"/>
    <w:rsid w:val="00A47412"/>
    <w:rPr>
      <w:rFonts w:cs="Mangal"/>
    </w:rPr>
  </w:style>
  <w:style w:type="paragraph" w:styleId="a4">
    <w:name w:val="caption"/>
    <w:basedOn w:val="Standard"/>
    <w:rsid w:val="00A47412"/>
    <w:pPr>
      <w:suppressLineNumbers/>
      <w:spacing w:before="120" w:after="120"/>
    </w:pPr>
    <w:rPr>
      <w:rFonts w:cs="Mangal"/>
      <w:i/>
      <w:iCs/>
      <w:szCs w:val="24"/>
    </w:rPr>
  </w:style>
  <w:style w:type="paragraph" w:customStyle="1" w:styleId="Index">
    <w:name w:val="Index"/>
    <w:basedOn w:val="Standard"/>
    <w:rsid w:val="00A47412"/>
    <w:pPr>
      <w:suppressLineNumbers/>
    </w:pPr>
    <w:rPr>
      <w:rFonts w:cs="Mangal"/>
    </w:rPr>
  </w:style>
  <w:style w:type="paragraph" w:styleId="a5">
    <w:name w:val="footer"/>
    <w:basedOn w:val="Standard"/>
    <w:rsid w:val="00A47412"/>
    <w:pPr>
      <w:tabs>
        <w:tab w:val="center" w:pos="4153"/>
        <w:tab w:val="right" w:pos="8306"/>
      </w:tabs>
      <w:snapToGrid w:val="0"/>
    </w:pPr>
    <w:rPr>
      <w:sz w:val="20"/>
    </w:rPr>
  </w:style>
  <w:style w:type="paragraph" w:customStyle="1" w:styleId="Textbodyindent">
    <w:name w:val="Text body indent"/>
    <w:basedOn w:val="Standard"/>
    <w:rsid w:val="00A47412"/>
    <w:pPr>
      <w:ind w:left="960" w:hanging="960"/>
    </w:pPr>
    <w:rPr>
      <w:rFonts w:eastAsia="標楷體"/>
      <w:sz w:val="32"/>
    </w:rPr>
  </w:style>
  <w:style w:type="paragraph" w:customStyle="1" w:styleId="a6">
    <w:name w:val="說明"/>
    <w:basedOn w:val="Standard"/>
    <w:rsid w:val="00A47412"/>
    <w:pPr>
      <w:snapToGrid w:val="0"/>
      <w:spacing w:line="240" w:lineRule="auto"/>
      <w:ind w:left="567" w:hanging="567"/>
      <w:textAlignment w:val="auto"/>
    </w:pPr>
    <w:rPr>
      <w:rFonts w:eastAsia="標楷體"/>
      <w:sz w:val="32"/>
    </w:rPr>
  </w:style>
  <w:style w:type="paragraph" w:styleId="a7">
    <w:name w:val="Balloon Text"/>
    <w:basedOn w:val="Standard"/>
    <w:rsid w:val="00A47412"/>
    <w:rPr>
      <w:rFonts w:ascii="Arial" w:eastAsia="Arial" w:hAnsi="Arial" w:cs="Arial"/>
      <w:sz w:val="18"/>
      <w:szCs w:val="18"/>
    </w:rPr>
  </w:style>
  <w:style w:type="paragraph" w:customStyle="1" w:styleId="a8">
    <w:name w:val="表名"/>
    <w:rsid w:val="00A47412"/>
    <w:pPr>
      <w:snapToGrid w:val="0"/>
      <w:spacing w:before="360" w:line="300" w:lineRule="auto"/>
      <w:jc w:val="center"/>
    </w:pPr>
    <w:rPr>
      <w:rFonts w:ascii="Times New Roman" w:eastAsia="標楷體" w:hAnsi="Times New Roman" w:cs="Times New Roman"/>
      <w:sz w:val="28"/>
      <w:szCs w:val="22"/>
      <w:lang w:bidi="ar-SA"/>
    </w:rPr>
  </w:style>
  <w:style w:type="paragraph" w:customStyle="1" w:styleId="2">
    <w:name w:val="表格內文2"/>
    <w:basedOn w:val="Standard"/>
    <w:rsid w:val="00A47412"/>
    <w:pPr>
      <w:autoSpaceDE w:val="0"/>
      <w:spacing w:line="300" w:lineRule="exact"/>
      <w:textAlignment w:val="center"/>
    </w:pPr>
    <w:rPr>
      <w:rFonts w:eastAsia="標楷體" w:cs="華康中楷體, 'Arial Unicode MS'"/>
      <w:spacing w:val="-22"/>
      <w:sz w:val="22"/>
      <w:szCs w:val="24"/>
    </w:rPr>
  </w:style>
  <w:style w:type="paragraph" w:customStyle="1" w:styleId="a9">
    <w:name w:val="備註"/>
    <w:rsid w:val="00A47412"/>
    <w:pPr>
      <w:widowControl/>
      <w:ind w:firstLine="1092"/>
    </w:pPr>
    <w:rPr>
      <w:rFonts w:ascii="Times New Roman" w:eastAsia="標楷體" w:hAnsi="Times New Roman" w:cs="Times New Roman"/>
      <w:lang w:bidi="ar-SA"/>
    </w:rPr>
  </w:style>
  <w:style w:type="paragraph" w:customStyle="1" w:styleId="aa">
    <w:name w:val="表頭"/>
    <w:basedOn w:val="2"/>
    <w:rsid w:val="00A47412"/>
    <w:pPr>
      <w:jc w:val="center"/>
    </w:pPr>
    <w:rPr>
      <w:sz w:val="24"/>
    </w:rPr>
  </w:style>
  <w:style w:type="paragraph" w:customStyle="1" w:styleId="ab">
    <w:name w:val="表"/>
    <w:rsid w:val="00A47412"/>
    <w:pPr>
      <w:pageBreakBefore/>
      <w:widowControl/>
      <w:snapToGrid w:val="0"/>
      <w:ind w:left="840" w:hanging="840"/>
      <w:jc w:val="both"/>
    </w:pPr>
    <w:rPr>
      <w:rFonts w:ascii="Times New Roman" w:eastAsia="標楷體" w:hAnsi="Times New Roman" w:cs="Times New Roman"/>
      <w:sz w:val="28"/>
      <w:szCs w:val="28"/>
      <w:lang w:bidi="ar-SA"/>
    </w:rPr>
  </w:style>
  <w:style w:type="paragraph" w:styleId="ac">
    <w:name w:val="header"/>
    <w:basedOn w:val="Standard"/>
    <w:rsid w:val="00A47412"/>
    <w:pPr>
      <w:tabs>
        <w:tab w:val="center" w:pos="4153"/>
        <w:tab w:val="right" w:pos="8306"/>
      </w:tabs>
      <w:snapToGrid w:val="0"/>
    </w:pPr>
    <w:rPr>
      <w:sz w:val="20"/>
    </w:rPr>
  </w:style>
  <w:style w:type="paragraph" w:styleId="ad">
    <w:name w:val="Salutation"/>
    <w:basedOn w:val="Standard"/>
    <w:next w:val="Standard"/>
    <w:rsid w:val="00A47412"/>
    <w:rPr>
      <w:rFonts w:ascii="標楷體" w:eastAsia="標楷體" w:hAnsi="標楷體" w:cs="標楷體"/>
      <w:sz w:val="26"/>
      <w:szCs w:val="26"/>
    </w:rPr>
  </w:style>
  <w:style w:type="paragraph" w:styleId="ae">
    <w:name w:val="Closing"/>
    <w:basedOn w:val="Standard"/>
    <w:rsid w:val="00A47412"/>
    <w:pPr>
      <w:ind w:left="100"/>
    </w:pPr>
    <w:rPr>
      <w:rFonts w:ascii="標楷體" w:eastAsia="標楷體" w:hAnsi="標楷體" w:cs="標楷體"/>
      <w:sz w:val="26"/>
      <w:szCs w:val="26"/>
    </w:rPr>
  </w:style>
  <w:style w:type="paragraph" w:customStyle="1" w:styleId="TableContents">
    <w:name w:val="Table Contents"/>
    <w:basedOn w:val="Standard"/>
    <w:rsid w:val="00A47412"/>
    <w:pPr>
      <w:suppressLineNumbers/>
    </w:pPr>
  </w:style>
  <w:style w:type="paragraph" w:customStyle="1" w:styleId="TableHeading">
    <w:name w:val="Table Heading"/>
    <w:basedOn w:val="Standard"/>
    <w:rsid w:val="00A47412"/>
    <w:pPr>
      <w:snapToGrid w:val="0"/>
      <w:spacing w:before="60" w:after="60" w:line="240" w:lineRule="auto"/>
      <w:jc w:val="center"/>
      <w:textAlignment w:val="auto"/>
    </w:pPr>
    <w:rPr>
      <w:rFonts w:ascii="標楷體" w:eastAsia="標楷體" w:hAnsi="標楷體" w:cs="標楷體"/>
      <w:b/>
      <w:sz w:val="28"/>
      <w:szCs w:val="28"/>
    </w:rPr>
  </w:style>
  <w:style w:type="paragraph" w:customStyle="1" w:styleId="af">
    <w:name w:val="資料來源"/>
    <w:basedOn w:val="Standard"/>
    <w:rsid w:val="00A47412"/>
    <w:pPr>
      <w:snapToGrid w:val="0"/>
      <w:spacing w:line="240" w:lineRule="auto"/>
      <w:ind w:left="987" w:hanging="987"/>
      <w:jc w:val="both"/>
      <w:textAlignment w:val="auto"/>
    </w:pPr>
    <w:rPr>
      <w:rFonts w:ascii="華康中楷體, 'Arial Unicode MS'" w:eastAsia="標楷體" w:hAnsi="華康中楷體, 'Arial Unicode MS'" w:cs="華康中楷體, 'Arial Unicode MS'"/>
      <w:sz w:val="20"/>
    </w:rPr>
  </w:style>
  <w:style w:type="paragraph" w:customStyle="1" w:styleId="Table">
    <w:name w:val="Table"/>
    <w:basedOn w:val="Standard"/>
    <w:rsid w:val="00A47412"/>
    <w:pPr>
      <w:autoSpaceDE w:val="0"/>
      <w:spacing w:before="60" w:after="60" w:line="280" w:lineRule="exact"/>
      <w:jc w:val="center"/>
      <w:textAlignment w:val="auto"/>
    </w:pPr>
    <w:rPr>
      <w:rFonts w:eastAsia="華康中楷體, 'Arial Unicode MS'"/>
    </w:rPr>
  </w:style>
  <w:style w:type="paragraph" w:customStyle="1" w:styleId="Contents1">
    <w:name w:val="Contents 1"/>
    <w:basedOn w:val="Standard"/>
    <w:rsid w:val="00A47412"/>
    <w:pPr>
      <w:tabs>
        <w:tab w:val="right" w:pos="2608"/>
        <w:tab w:val="right" w:leader="underscore" w:pos="10518"/>
      </w:tabs>
      <w:snapToGrid w:val="0"/>
      <w:spacing w:before="120" w:after="120" w:line="240" w:lineRule="auto"/>
      <w:ind w:left="1389" w:hanging="1219"/>
      <w:jc w:val="both"/>
    </w:pPr>
    <w:rPr>
      <w:rFonts w:ascii="@華康中楷體, '@Arial Unicode MS'" w:eastAsia="標楷體" w:hAnsi="@華康中楷體, '@Arial Unicode MS'" w:cs="@華康中楷體, '@Arial Unicode MS'"/>
      <w:b/>
      <w:sz w:val="28"/>
      <w:szCs w:val="28"/>
    </w:rPr>
  </w:style>
  <w:style w:type="character" w:customStyle="1" w:styleId="WW8Num1z0">
    <w:name w:val="WW8Num1z0"/>
    <w:rsid w:val="00A47412"/>
    <w:rPr>
      <w:rFonts w:ascii="華康中楷體, 'Arial Unicode MS'" w:eastAsia="華康中楷體, 'Arial Unicode MS'" w:hAnsi="華康中楷體, 'Arial Unicode MS'" w:cs="華康中楷體, 'Arial Unicode MS'"/>
      <w:sz w:val="22"/>
      <w:szCs w:val="22"/>
    </w:rPr>
  </w:style>
  <w:style w:type="character" w:customStyle="1" w:styleId="WW8Num1z1">
    <w:name w:val="WW8Num1z1"/>
    <w:rsid w:val="00A47412"/>
  </w:style>
  <w:style w:type="character" w:customStyle="1" w:styleId="WW8Num1z2">
    <w:name w:val="WW8Num1z2"/>
    <w:rsid w:val="00A47412"/>
  </w:style>
  <w:style w:type="character" w:customStyle="1" w:styleId="WW8Num1z3">
    <w:name w:val="WW8Num1z3"/>
    <w:rsid w:val="00A47412"/>
  </w:style>
  <w:style w:type="character" w:customStyle="1" w:styleId="WW8Num1z4">
    <w:name w:val="WW8Num1z4"/>
    <w:rsid w:val="00A47412"/>
  </w:style>
  <w:style w:type="character" w:customStyle="1" w:styleId="WW8Num1z5">
    <w:name w:val="WW8Num1z5"/>
    <w:rsid w:val="00A47412"/>
  </w:style>
  <w:style w:type="character" w:customStyle="1" w:styleId="WW8Num1z6">
    <w:name w:val="WW8Num1z6"/>
    <w:rsid w:val="00A47412"/>
  </w:style>
  <w:style w:type="character" w:customStyle="1" w:styleId="WW8Num1z7">
    <w:name w:val="WW8Num1z7"/>
    <w:rsid w:val="00A47412"/>
  </w:style>
  <w:style w:type="character" w:customStyle="1" w:styleId="WW8Num1z8">
    <w:name w:val="WW8Num1z8"/>
    <w:rsid w:val="00A47412"/>
  </w:style>
  <w:style w:type="character" w:customStyle="1" w:styleId="WW8Num2z0">
    <w:name w:val="WW8Num2z0"/>
    <w:rsid w:val="00A47412"/>
  </w:style>
  <w:style w:type="character" w:customStyle="1" w:styleId="WW8Num2z1">
    <w:name w:val="WW8Num2z1"/>
    <w:rsid w:val="00A47412"/>
  </w:style>
  <w:style w:type="character" w:customStyle="1" w:styleId="WW8Num2z2">
    <w:name w:val="WW8Num2z2"/>
    <w:rsid w:val="00A47412"/>
  </w:style>
  <w:style w:type="character" w:customStyle="1" w:styleId="WW8Num2z3">
    <w:name w:val="WW8Num2z3"/>
    <w:rsid w:val="00A47412"/>
  </w:style>
  <w:style w:type="character" w:customStyle="1" w:styleId="WW8Num2z4">
    <w:name w:val="WW8Num2z4"/>
    <w:rsid w:val="00A47412"/>
  </w:style>
  <w:style w:type="character" w:customStyle="1" w:styleId="WW8Num2z5">
    <w:name w:val="WW8Num2z5"/>
    <w:rsid w:val="00A47412"/>
  </w:style>
  <w:style w:type="character" w:customStyle="1" w:styleId="WW8Num2z6">
    <w:name w:val="WW8Num2z6"/>
    <w:rsid w:val="00A47412"/>
  </w:style>
  <w:style w:type="character" w:customStyle="1" w:styleId="WW8Num2z7">
    <w:name w:val="WW8Num2z7"/>
    <w:rsid w:val="00A47412"/>
  </w:style>
  <w:style w:type="character" w:customStyle="1" w:styleId="WW8Num2z8">
    <w:name w:val="WW8Num2z8"/>
    <w:rsid w:val="00A47412"/>
  </w:style>
  <w:style w:type="character" w:customStyle="1" w:styleId="WW8Num3z0">
    <w:name w:val="WW8Num3z0"/>
    <w:rsid w:val="00A47412"/>
    <w:rPr>
      <w:rFonts w:ascii="華康中楷體, 'Arial Unicode MS'" w:eastAsia="華康中楷體, 'Arial Unicode MS'" w:hAnsi="華康中楷體, 'Arial Unicode MS'" w:cs="華康中楷體, 'Arial Unicode MS'"/>
    </w:rPr>
  </w:style>
  <w:style w:type="character" w:customStyle="1" w:styleId="WW8Num3z1">
    <w:name w:val="WW8Num3z1"/>
    <w:rsid w:val="00A47412"/>
  </w:style>
  <w:style w:type="character" w:customStyle="1" w:styleId="WW8Num3z2">
    <w:name w:val="WW8Num3z2"/>
    <w:rsid w:val="00A47412"/>
  </w:style>
  <w:style w:type="character" w:customStyle="1" w:styleId="WW8Num3z3">
    <w:name w:val="WW8Num3z3"/>
    <w:rsid w:val="00A47412"/>
  </w:style>
  <w:style w:type="character" w:customStyle="1" w:styleId="WW8Num3z4">
    <w:name w:val="WW8Num3z4"/>
    <w:rsid w:val="00A47412"/>
  </w:style>
  <w:style w:type="character" w:customStyle="1" w:styleId="WW8Num3z5">
    <w:name w:val="WW8Num3z5"/>
    <w:rsid w:val="00A47412"/>
  </w:style>
  <w:style w:type="character" w:customStyle="1" w:styleId="WW8Num3z6">
    <w:name w:val="WW8Num3z6"/>
    <w:rsid w:val="00A47412"/>
  </w:style>
  <w:style w:type="character" w:customStyle="1" w:styleId="WW8Num3z7">
    <w:name w:val="WW8Num3z7"/>
    <w:rsid w:val="00A47412"/>
  </w:style>
  <w:style w:type="character" w:customStyle="1" w:styleId="WW8Num3z8">
    <w:name w:val="WW8Num3z8"/>
    <w:rsid w:val="00A47412"/>
  </w:style>
  <w:style w:type="character" w:customStyle="1" w:styleId="WW8Num4z0">
    <w:name w:val="WW8Num4z0"/>
    <w:rsid w:val="00A47412"/>
  </w:style>
  <w:style w:type="character" w:customStyle="1" w:styleId="WW8Num4z1">
    <w:name w:val="WW8Num4z1"/>
    <w:rsid w:val="00A47412"/>
  </w:style>
  <w:style w:type="character" w:customStyle="1" w:styleId="WW8Num4z2">
    <w:name w:val="WW8Num4z2"/>
    <w:rsid w:val="00A47412"/>
  </w:style>
  <w:style w:type="character" w:customStyle="1" w:styleId="WW8Num4z3">
    <w:name w:val="WW8Num4z3"/>
    <w:rsid w:val="00A47412"/>
  </w:style>
  <w:style w:type="character" w:customStyle="1" w:styleId="WW8Num4z4">
    <w:name w:val="WW8Num4z4"/>
    <w:rsid w:val="00A47412"/>
  </w:style>
  <w:style w:type="character" w:customStyle="1" w:styleId="WW8Num4z5">
    <w:name w:val="WW8Num4z5"/>
    <w:rsid w:val="00A47412"/>
  </w:style>
  <w:style w:type="character" w:customStyle="1" w:styleId="WW8Num4z6">
    <w:name w:val="WW8Num4z6"/>
    <w:rsid w:val="00A47412"/>
  </w:style>
  <w:style w:type="character" w:customStyle="1" w:styleId="WW8Num4z7">
    <w:name w:val="WW8Num4z7"/>
    <w:rsid w:val="00A47412"/>
  </w:style>
  <w:style w:type="character" w:customStyle="1" w:styleId="WW8Num4z8">
    <w:name w:val="WW8Num4z8"/>
    <w:rsid w:val="00A47412"/>
  </w:style>
  <w:style w:type="character" w:customStyle="1" w:styleId="WW8Num5z0">
    <w:name w:val="WW8Num5z0"/>
    <w:rsid w:val="00A47412"/>
  </w:style>
  <w:style w:type="character" w:customStyle="1" w:styleId="WW8Num5z1">
    <w:name w:val="WW8Num5z1"/>
    <w:rsid w:val="00A47412"/>
  </w:style>
  <w:style w:type="character" w:customStyle="1" w:styleId="WW8Num5z2">
    <w:name w:val="WW8Num5z2"/>
    <w:rsid w:val="00A47412"/>
  </w:style>
  <w:style w:type="character" w:customStyle="1" w:styleId="WW8Num5z3">
    <w:name w:val="WW8Num5z3"/>
    <w:rsid w:val="00A47412"/>
  </w:style>
  <w:style w:type="character" w:customStyle="1" w:styleId="WW8Num5z4">
    <w:name w:val="WW8Num5z4"/>
    <w:rsid w:val="00A47412"/>
  </w:style>
  <w:style w:type="character" w:customStyle="1" w:styleId="WW8Num5z5">
    <w:name w:val="WW8Num5z5"/>
    <w:rsid w:val="00A47412"/>
  </w:style>
  <w:style w:type="character" w:customStyle="1" w:styleId="WW8Num5z6">
    <w:name w:val="WW8Num5z6"/>
    <w:rsid w:val="00A47412"/>
  </w:style>
  <w:style w:type="character" w:customStyle="1" w:styleId="WW8Num5z7">
    <w:name w:val="WW8Num5z7"/>
    <w:rsid w:val="00A47412"/>
  </w:style>
  <w:style w:type="character" w:customStyle="1" w:styleId="WW8Num5z8">
    <w:name w:val="WW8Num5z8"/>
    <w:rsid w:val="00A47412"/>
  </w:style>
  <w:style w:type="character" w:customStyle="1" w:styleId="WW8Num6z0">
    <w:name w:val="WW8Num6z0"/>
    <w:rsid w:val="00A47412"/>
  </w:style>
  <w:style w:type="character" w:customStyle="1" w:styleId="WW8Num6z1">
    <w:name w:val="WW8Num6z1"/>
    <w:rsid w:val="00A47412"/>
  </w:style>
  <w:style w:type="character" w:customStyle="1" w:styleId="WW8Num6z2">
    <w:name w:val="WW8Num6z2"/>
    <w:rsid w:val="00A47412"/>
  </w:style>
  <w:style w:type="character" w:customStyle="1" w:styleId="WW8Num6z3">
    <w:name w:val="WW8Num6z3"/>
    <w:rsid w:val="00A47412"/>
  </w:style>
  <w:style w:type="character" w:customStyle="1" w:styleId="WW8Num6z4">
    <w:name w:val="WW8Num6z4"/>
    <w:rsid w:val="00A47412"/>
  </w:style>
  <w:style w:type="character" w:customStyle="1" w:styleId="WW8Num6z5">
    <w:name w:val="WW8Num6z5"/>
    <w:rsid w:val="00A47412"/>
  </w:style>
  <w:style w:type="character" w:customStyle="1" w:styleId="WW8Num6z6">
    <w:name w:val="WW8Num6z6"/>
    <w:rsid w:val="00A47412"/>
  </w:style>
  <w:style w:type="character" w:customStyle="1" w:styleId="WW8Num6z7">
    <w:name w:val="WW8Num6z7"/>
    <w:rsid w:val="00A47412"/>
  </w:style>
  <w:style w:type="character" w:customStyle="1" w:styleId="WW8Num6z8">
    <w:name w:val="WW8Num6z8"/>
    <w:rsid w:val="00A47412"/>
  </w:style>
  <w:style w:type="character" w:customStyle="1" w:styleId="WW8Num7z0">
    <w:name w:val="WW8Num7z0"/>
    <w:rsid w:val="00A47412"/>
  </w:style>
  <w:style w:type="character" w:customStyle="1" w:styleId="WW8Num7z1">
    <w:name w:val="WW8Num7z1"/>
    <w:rsid w:val="00A47412"/>
  </w:style>
  <w:style w:type="character" w:customStyle="1" w:styleId="WW8Num7z2">
    <w:name w:val="WW8Num7z2"/>
    <w:rsid w:val="00A47412"/>
  </w:style>
  <w:style w:type="character" w:customStyle="1" w:styleId="WW8Num7z3">
    <w:name w:val="WW8Num7z3"/>
    <w:rsid w:val="00A47412"/>
  </w:style>
  <w:style w:type="character" w:customStyle="1" w:styleId="WW8Num7z4">
    <w:name w:val="WW8Num7z4"/>
    <w:rsid w:val="00A47412"/>
  </w:style>
  <w:style w:type="character" w:customStyle="1" w:styleId="WW8Num7z5">
    <w:name w:val="WW8Num7z5"/>
    <w:rsid w:val="00A47412"/>
  </w:style>
  <w:style w:type="character" w:customStyle="1" w:styleId="WW8Num7z6">
    <w:name w:val="WW8Num7z6"/>
    <w:rsid w:val="00A47412"/>
  </w:style>
  <w:style w:type="character" w:customStyle="1" w:styleId="WW8Num7z7">
    <w:name w:val="WW8Num7z7"/>
    <w:rsid w:val="00A47412"/>
  </w:style>
  <w:style w:type="character" w:customStyle="1" w:styleId="WW8Num7z8">
    <w:name w:val="WW8Num7z8"/>
    <w:rsid w:val="00A47412"/>
  </w:style>
  <w:style w:type="character" w:customStyle="1" w:styleId="WW8Num8z0">
    <w:name w:val="WW8Num8z0"/>
    <w:rsid w:val="00A47412"/>
  </w:style>
  <w:style w:type="character" w:customStyle="1" w:styleId="WW8Num8z1">
    <w:name w:val="WW8Num8z1"/>
    <w:rsid w:val="00A47412"/>
  </w:style>
  <w:style w:type="character" w:customStyle="1" w:styleId="WW8Num8z2">
    <w:name w:val="WW8Num8z2"/>
    <w:rsid w:val="00A47412"/>
  </w:style>
  <w:style w:type="character" w:customStyle="1" w:styleId="WW8Num8z3">
    <w:name w:val="WW8Num8z3"/>
    <w:rsid w:val="00A47412"/>
  </w:style>
  <w:style w:type="character" w:customStyle="1" w:styleId="WW8Num8z4">
    <w:name w:val="WW8Num8z4"/>
    <w:rsid w:val="00A47412"/>
  </w:style>
  <w:style w:type="character" w:customStyle="1" w:styleId="WW8Num8z5">
    <w:name w:val="WW8Num8z5"/>
    <w:rsid w:val="00A47412"/>
  </w:style>
  <w:style w:type="character" w:customStyle="1" w:styleId="WW8Num8z6">
    <w:name w:val="WW8Num8z6"/>
    <w:rsid w:val="00A47412"/>
  </w:style>
  <w:style w:type="character" w:customStyle="1" w:styleId="WW8Num8z7">
    <w:name w:val="WW8Num8z7"/>
    <w:rsid w:val="00A47412"/>
  </w:style>
  <w:style w:type="character" w:customStyle="1" w:styleId="WW8Num8z8">
    <w:name w:val="WW8Num8z8"/>
    <w:rsid w:val="00A47412"/>
  </w:style>
  <w:style w:type="character" w:customStyle="1" w:styleId="WW8Num9z0">
    <w:name w:val="WW8Num9z0"/>
    <w:rsid w:val="00A47412"/>
    <w:rPr>
      <w:rFonts w:ascii="華康中楷體, 'Arial Unicode MS'" w:eastAsia="華康中楷體, 'Arial Unicode MS'" w:hAnsi="華康中楷體, 'Arial Unicode MS'" w:cs="華康中楷體, 'Arial Unicode MS'"/>
    </w:rPr>
  </w:style>
  <w:style w:type="character" w:customStyle="1" w:styleId="WW8Num9z1">
    <w:name w:val="WW8Num9z1"/>
    <w:rsid w:val="00A47412"/>
  </w:style>
  <w:style w:type="character" w:customStyle="1" w:styleId="WW8Num9z2">
    <w:name w:val="WW8Num9z2"/>
    <w:rsid w:val="00A47412"/>
  </w:style>
  <w:style w:type="character" w:customStyle="1" w:styleId="WW8Num9z3">
    <w:name w:val="WW8Num9z3"/>
    <w:rsid w:val="00A47412"/>
  </w:style>
  <w:style w:type="character" w:customStyle="1" w:styleId="WW8Num9z4">
    <w:name w:val="WW8Num9z4"/>
    <w:rsid w:val="00A47412"/>
  </w:style>
  <w:style w:type="character" w:customStyle="1" w:styleId="WW8Num9z5">
    <w:name w:val="WW8Num9z5"/>
    <w:rsid w:val="00A47412"/>
  </w:style>
  <w:style w:type="character" w:customStyle="1" w:styleId="WW8Num9z6">
    <w:name w:val="WW8Num9z6"/>
    <w:rsid w:val="00A47412"/>
  </w:style>
  <w:style w:type="character" w:customStyle="1" w:styleId="WW8Num9z7">
    <w:name w:val="WW8Num9z7"/>
    <w:rsid w:val="00A47412"/>
  </w:style>
  <w:style w:type="character" w:customStyle="1" w:styleId="WW8Num9z8">
    <w:name w:val="WW8Num9z8"/>
    <w:rsid w:val="00A47412"/>
  </w:style>
  <w:style w:type="character" w:customStyle="1" w:styleId="WW8Num10z0">
    <w:name w:val="WW8Num10z0"/>
    <w:rsid w:val="00A47412"/>
    <w:rPr>
      <w:rFonts w:ascii="華康中楷體, 'Arial Unicode MS'" w:eastAsia="華康中楷體, 'Arial Unicode MS'" w:hAnsi="華康中楷體, 'Arial Unicode MS'" w:cs="華康中楷體, 'Arial Unicode MS'"/>
      <w:sz w:val="22"/>
      <w:szCs w:val="22"/>
    </w:rPr>
  </w:style>
  <w:style w:type="character" w:customStyle="1" w:styleId="WW8Num10z1">
    <w:name w:val="WW8Num10z1"/>
    <w:rsid w:val="00A47412"/>
  </w:style>
  <w:style w:type="character" w:customStyle="1" w:styleId="WW8Num10z2">
    <w:name w:val="WW8Num10z2"/>
    <w:rsid w:val="00A47412"/>
  </w:style>
  <w:style w:type="character" w:customStyle="1" w:styleId="WW8Num10z3">
    <w:name w:val="WW8Num10z3"/>
    <w:rsid w:val="00A47412"/>
  </w:style>
  <w:style w:type="character" w:customStyle="1" w:styleId="WW8Num10z4">
    <w:name w:val="WW8Num10z4"/>
    <w:rsid w:val="00A47412"/>
  </w:style>
  <w:style w:type="character" w:customStyle="1" w:styleId="WW8Num10z5">
    <w:name w:val="WW8Num10z5"/>
    <w:rsid w:val="00A47412"/>
  </w:style>
  <w:style w:type="character" w:customStyle="1" w:styleId="WW8Num10z6">
    <w:name w:val="WW8Num10z6"/>
    <w:rsid w:val="00A47412"/>
  </w:style>
  <w:style w:type="character" w:customStyle="1" w:styleId="WW8Num10z7">
    <w:name w:val="WW8Num10z7"/>
    <w:rsid w:val="00A47412"/>
  </w:style>
  <w:style w:type="character" w:customStyle="1" w:styleId="WW8Num10z8">
    <w:name w:val="WW8Num10z8"/>
    <w:rsid w:val="00A47412"/>
  </w:style>
  <w:style w:type="character" w:customStyle="1" w:styleId="Internetlink">
    <w:name w:val="Internet link"/>
    <w:basedOn w:val="a0"/>
    <w:rsid w:val="00A47412"/>
    <w:rPr>
      <w:color w:val="0000FF"/>
      <w:u w:val="single"/>
    </w:rPr>
  </w:style>
  <w:style w:type="character" w:customStyle="1" w:styleId="af0">
    <w:name w:val="頁首 字元"/>
    <w:basedOn w:val="a0"/>
    <w:rsid w:val="00A47412"/>
  </w:style>
  <w:style w:type="character" w:customStyle="1" w:styleId="af1">
    <w:name w:val="問候 字元"/>
    <w:basedOn w:val="a0"/>
    <w:rsid w:val="00A47412"/>
    <w:rPr>
      <w:rFonts w:ascii="標楷體" w:eastAsia="標楷體" w:hAnsi="標楷體" w:cs="標楷體"/>
      <w:sz w:val="26"/>
      <w:szCs w:val="26"/>
    </w:rPr>
  </w:style>
  <w:style w:type="character" w:customStyle="1" w:styleId="af2">
    <w:name w:val="結語 字元"/>
    <w:basedOn w:val="a0"/>
    <w:rsid w:val="00A47412"/>
    <w:rPr>
      <w:rFonts w:ascii="標楷體" w:eastAsia="標楷體" w:hAnsi="標楷體" w:cs="標楷體"/>
      <w:sz w:val="26"/>
      <w:szCs w:val="26"/>
    </w:rPr>
  </w:style>
  <w:style w:type="character" w:customStyle="1" w:styleId="af3">
    <w:name w:val="頁尾 字元"/>
    <w:basedOn w:val="a0"/>
    <w:rsid w:val="00A47412"/>
  </w:style>
  <w:style w:type="character" w:customStyle="1" w:styleId="af4">
    <w:name w:val="表格 字元"/>
    <w:link w:val="af5"/>
    <w:rsid w:val="00A47412"/>
    <w:rPr>
      <w:rFonts w:eastAsia="華康中楷體, 'Arial Unicode MS'"/>
      <w:sz w:val="24"/>
    </w:rPr>
  </w:style>
  <w:style w:type="character" w:customStyle="1" w:styleId="af6">
    <w:name w:val="資料來源 字元"/>
    <w:rsid w:val="00A47412"/>
    <w:rPr>
      <w:rFonts w:ascii="華康中楷體, 'Arial Unicode MS'" w:eastAsia="標楷體" w:hAnsi="華康中楷體, 'Arial Unicode MS'" w:cs="華康中楷體, 'Arial Unicode MS'"/>
      <w:kern w:val="3"/>
    </w:rPr>
  </w:style>
  <w:style w:type="character" w:customStyle="1" w:styleId="af7">
    <w:name w:val="表格標題 字元"/>
    <w:rsid w:val="00A47412"/>
    <w:rPr>
      <w:rFonts w:ascii="標楷體" w:eastAsia="標楷體" w:hAnsi="標楷體" w:cs="標楷體"/>
      <w:b/>
      <w:kern w:val="3"/>
      <w:sz w:val="28"/>
      <w:szCs w:val="28"/>
    </w:rPr>
  </w:style>
  <w:style w:type="numbering" w:customStyle="1" w:styleId="WW8Num1">
    <w:name w:val="WW8Num1"/>
    <w:basedOn w:val="a2"/>
    <w:rsid w:val="00A47412"/>
    <w:pPr>
      <w:numPr>
        <w:numId w:val="1"/>
      </w:numPr>
    </w:pPr>
  </w:style>
  <w:style w:type="numbering" w:customStyle="1" w:styleId="WW8Num2">
    <w:name w:val="WW8Num2"/>
    <w:basedOn w:val="a2"/>
    <w:rsid w:val="00A47412"/>
    <w:pPr>
      <w:numPr>
        <w:numId w:val="2"/>
      </w:numPr>
    </w:pPr>
  </w:style>
  <w:style w:type="numbering" w:customStyle="1" w:styleId="WW8Num3">
    <w:name w:val="WW8Num3"/>
    <w:basedOn w:val="a2"/>
    <w:rsid w:val="00A47412"/>
    <w:pPr>
      <w:numPr>
        <w:numId w:val="3"/>
      </w:numPr>
    </w:pPr>
  </w:style>
  <w:style w:type="numbering" w:customStyle="1" w:styleId="WW8Num4">
    <w:name w:val="WW8Num4"/>
    <w:basedOn w:val="a2"/>
    <w:rsid w:val="00A47412"/>
    <w:pPr>
      <w:numPr>
        <w:numId w:val="4"/>
      </w:numPr>
    </w:pPr>
  </w:style>
  <w:style w:type="numbering" w:customStyle="1" w:styleId="WW8Num5">
    <w:name w:val="WW8Num5"/>
    <w:basedOn w:val="a2"/>
    <w:rsid w:val="00A47412"/>
    <w:pPr>
      <w:numPr>
        <w:numId w:val="5"/>
      </w:numPr>
    </w:pPr>
  </w:style>
  <w:style w:type="numbering" w:customStyle="1" w:styleId="WW8Num6">
    <w:name w:val="WW8Num6"/>
    <w:basedOn w:val="a2"/>
    <w:rsid w:val="00A47412"/>
    <w:pPr>
      <w:numPr>
        <w:numId w:val="6"/>
      </w:numPr>
    </w:pPr>
  </w:style>
  <w:style w:type="numbering" w:customStyle="1" w:styleId="WW8Num7">
    <w:name w:val="WW8Num7"/>
    <w:basedOn w:val="a2"/>
    <w:rsid w:val="00A47412"/>
    <w:pPr>
      <w:numPr>
        <w:numId w:val="7"/>
      </w:numPr>
    </w:pPr>
  </w:style>
  <w:style w:type="numbering" w:customStyle="1" w:styleId="WW8Num8">
    <w:name w:val="WW8Num8"/>
    <w:basedOn w:val="a2"/>
    <w:rsid w:val="00A47412"/>
    <w:pPr>
      <w:numPr>
        <w:numId w:val="8"/>
      </w:numPr>
    </w:pPr>
  </w:style>
  <w:style w:type="numbering" w:customStyle="1" w:styleId="WW8Num9">
    <w:name w:val="WW8Num9"/>
    <w:basedOn w:val="a2"/>
    <w:rsid w:val="00A47412"/>
    <w:pPr>
      <w:numPr>
        <w:numId w:val="9"/>
      </w:numPr>
    </w:pPr>
  </w:style>
  <w:style w:type="numbering" w:customStyle="1" w:styleId="WW8Num10">
    <w:name w:val="WW8Num10"/>
    <w:basedOn w:val="a2"/>
    <w:rsid w:val="00A47412"/>
    <w:pPr>
      <w:numPr>
        <w:numId w:val="10"/>
      </w:numPr>
    </w:pPr>
  </w:style>
  <w:style w:type="paragraph" w:customStyle="1" w:styleId="af8">
    <w:name w:val="章內文"/>
    <w:basedOn w:val="a"/>
    <w:rsid w:val="00B1626F"/>
    <w:pPr>
      <w:widowControl/>
      <w:suppressAutoHyphens w:val="0"/>
      <w:autoSpaceDE w:val="0"/>
      <w:spacing w:before="60" w:after="120" w:line="400" w:lineRule="exact"/>
      <w:ind w:firstLine="510"/>
      <w:jc w:val="both"/>
      <w:textAlignment w:val="auto"/>
    </w:pPr>
    <w:rPr>
      <w:rFonts w:ascii="Times New Roman" w:eastAsia="華康中楷體" w:hAnsi="Times New Roman" w:cs="Times New Roman"/>
      <w:spacing w:val="6"/>
      <w:kern w:val="0"/>
      <w:szCs w:val="20"/>
      <w:lang w:bidi="ar-SA"/>
    </w:rPr>
  </w:style>
  <w:style w:type="paragraph" w:customStyle="1" w:styleId="af9">
    <w:name w:val="節一"/>
    <w:link w:val="afa"/>
    <w:qFormat/>
    <w:rsid w:val="00B1626F"/>
    <w:pPr>
      <w:widowControl/>
      <w:suppressAutoHyphens w:val="0"/>
      <w:autoSpaceDN/>
      <w:spacing w:before="120" w:after="60" w:line="360" w:lineRule="exact"/>
      <w:ind w:left="567" w:hanging="567"/>
      <w:jc w:val="both"/>
      <w:textAlignment w:val="auto"/>
    </w:pPr>
    <w:rPr>
      <w:rFonts w:ascii="Times New Roman" w:eastAsia="華康中黑體" w:hAnsi="Times New Roman" w:cs="Times New Roman"/>
      <w:b/>
      <w:kern w:val="0"/>
      <w:sz w:val="28"/>
      <w:szCs w:val="20"/>
      <w:lang w:bidi="ar-SA"/>
    </w:rPr>
  </w:style>
  <w:style w:type="paragraph" w:customStyle="1" w:styleId="afb">
    <w:name w:val="節一內文"/>
    <w:link w:val="afc"/>
    <w:qFormat/>
    <w:rsid w:val="00B1626F"/>
    <w:pPr>
      <w:widowControl/>
      <w:suppressAutoHyphens w:val="0"/>
      <w:autoSpaceDE w:val="0"/>
      <w:spacing w:before="60" w:after="60" w:line="400" w:lineRule="exact"/>
      <w:ind w:leftChars="250" w:left="250" w:firstLine="510"/>
      <w:jc w:val="both"/>
      <w:textAlignment w:val="auto"/>
    </w:pPr>
    <w:rPr>
      <w:rFonts w:ascii="Times New Roman" w:eastAsia="華康中楷體" w:hAnsi="Times New Roman" w:cs="Times New Roman"/>
      <w:spacing w:val="6"/>
      <w:kern w:val="0"/>
      <w:szCs w:val="20"/>
      <w:lang w:bidi="ar-SA"/>
    </w:rPr>
  </w:style>
  <w:style w:type="character" w:customStyle="1" w:styleId="afc">
    <w:name w:val="節一內文 字元"/>
    <w:link w:val="afb"/>
    <w:rsid w:val="00B1626F"/>
    <w:rPr>
      <w:rFonts w:ascii="Times New Roman" w:eastAsia="華康中楷體" w:hAnsi="Times New Roman" w:cs="Times New Roman"/>
      <w:spacing w:val="6"/>
      <w:kern w:val="0"/>
      <w:szCs w:val="20"/>
      <w:lang w:bidi="ar-SA"/>
    </w:rPr>
  </w:style>
  <w:style w:type="paragraph" w:customStyle="1" w:styleId="afd">
    <w:name w:val="圖表名"/>
    <w:link w:val="afe"/>
    <w:rsid w:val="00B1626F"/>
    <w:pPr>
      <w:widowControl/>
      <w:suppressAutoHyphens w:val="0"/>
      <w:autoSpaceDN/>
      <w:spacing w:beforeLines="50" w:afterLines="50" w:line="240" w:lineRule="atLeast"/>
      <w:jc w:val="center"/>
      <w:textAlignment w:val="auto"/>
    </w:pPr>
    <w:rPr>
      <w:rFonts w:ascii="Times New Roman" w:eastAsia="華康中黑體" w:hAnsi="Times New Roman" w:cs="Times New Roman"/>
      <w:kern w:val="0"/>
      <w:szCs w:val="20"/>
      <w:lang w:bidi="ar-SA"/>
    </w:rPr>
  </w:style>
  <w:style w:type="paragraph" w:customStyle="1" w:styleId="af5">
    <w:name w:val="表格"/>
    <w:basedOn w:val="a"/>
    <w:link w:val="af4"/>
    <w:rsid w:val="00B1626F"/>
    <w:pPr>
      <w:suppressAutoHyphens w:val="0"/>
      <w:autoSpaceDE w:val="0"/>
      <w:adjustRightInd w:val="0"/>
      <w:spacing w:before="60" w:after="60" w:line="280" w:lineRule="exact"/>
      <w:jc w:val="center"/>
      <w:textAlignment w:val="auto"/>
    </w:pPr>
    <w:rPr>
      <w:rFonts w:eastAsia="華康中楷體, 'Arial Unicode MS'"/>
    </w:rPr>
  </w:style>
  <w:style w:type="table" w:styleId="aff">
    <w:name w:val="Table Grid"/>
    <w:basedOn w:val="a1"/>
    <w:uiPriority w:val="59"/>
    <w:rsid w:val="00B1626F"/>
    <w:pPr>
      <w:suppressAutoHyphens w:val="0"/>
      <w:autoSpaceDE w:val="0"/>
      <w:adjustRightInd w:val="0"/>
      <w:spacing w:line="360" w:lineRule="exact"/>
      <w:textAlignment w:val="auto"/>
    </w:pPr>
    <w:rPr>
      <w:rFonts w:ascii="Times New Roman" w:hAnsi="Times New Roman" w:cs="Times New Roman"/>
      <w:kern w:val="0"/>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圖表名 字元"/>
    <w:link w:val="afd"/>
    <w:locked/>
    <w:rsid w:val="00B1626F"/>
    <w:rPr>
      <w:rFonts w:ascii="Times New Roman" w:eastAsia="華康中黑體" w:hAnsi="Times New Roman" w:cs="Times New Roman"/>
      <w:kern w:val="0"/>
      <w:szCs w:val="20"/>
      <w:lang w:bidi="ar-SA"/>
    </w:rPr>
  </w:style>
  <w:style w:type="character" w:customStyle="1" w:styleId="afa">
    <w:name w:val="節一 字元"/>
    <w:link w:val="af9"/>
    <w:rsid w:val="00B1626F"/>
    <w:rPr>
      <w:rFonts w:ascii="Times New Roman" w:eastAsia="華康中黑體" w:hAnsi="Times New Roman" w:cs="Times New Roman"/>
      <w:b/>
      <w:kern w:val="0"/>
      <w:sz w:val="28"/>
      <w:szCs w:val="20"/>
      <w:lang w:bidi="ar-SA"/>
    </w:rPr>
  </w:style>
  <w:style w:type="paragraph" w:customStyle="1" w:styleId="aff0">
    <w:name w:val="表格文字"/>
    <w:basedOn w:val="a"/>
    <w:next w:val="a"/>
    <w:link w:val="aff1"/>
    <w:qFormat/>
    <w:rsid w:val="00B1626F"/>
    <w:pPr>
      <w:suppressAutoHyphens w:val="0"/>
      <w:autoSpaceDN/>
      <w:adjustRightInd w:val="0"/>
      <w:snapToGrid w:val="0"/>
      <w:spacing w:line="280" w:lineRule="exact"/>
      <w:jc w:val="center"/>
    </w:pPr>
    <w:rPr>
      <w:rFonts w:ascii="Times New Roman" w:eastAsia="華康中楷體" w:hAnsi="Times New Roman" w:cs="Times New Roman"/>
      <w:color w:val="595959"/>
      <w:kern w:val="0"/>
      <w:sz w:val="22"/>
      <w:szCs w:val="20"/>
      <w:lang w:bidi="ar-SA"/>
    </w:rPr>
  </w:style>
  <w:style w:type="character" w:customStyle="1" w:styleId="aff1">
    <w:name w:val="表格文字 字元"/>
    <w:link w:val="aff0"/>
    <w:rsid w:val="00B1626F"/>
    <w:rPr>
      <w:rFonts w:ascii="Times New Roman" w:eastAsia="華康中楷體" w:hAnsi="Times New Roman" w:cs="Times New Roman"/>
      <w:color w:val="595959"/>
      <w:kern w:val="0"/>
      <w:sz w:val="22"/>
      <w:szCs w:val="20"/>
      <w:lang w:bidi="ar-SA"/>
    </w:rPr>
  </w:style>
  <w:style w:type="paragraph" w:customStyle="1" w:styleId="aff2">
    <w:name w:val="節（一）"/>
    <w:link w:val="aff3"/>
    <w:qFormat/>
    <w:rsid w:val="00095608"/>
    <w:pPr>
      <w:widowControl/>
      <w:suppressAutoHyphens w:val="0"/>
      <w:autoSpaceDN/>
      <w:spacing w:before="120" w:after="60" w:line="400" w:lineRule="exact"/>
      <w:ind w:left="300" w:hangingChars="300" w:hanging="300"/>
      <w:textAlignment w:val="auto"/>
    </w:pPr>
    <w:rPr>
      <w:rFonts w:ascii="Times New Roman" w:eastAsia="華康中黑體" w:hAnsi="Times New Roman" w:cs="新細明體"/>
      <w:b/>
      <w:bCs/>
      <w:kern w:val="0"/>
      <w:sz w:val="26"/>
      <w:szCs w:val="20"/>
      <w:lang w:bidi="ar-SA"/>
    </w:rPr>
  </w:style>
  <w:style w:type="paragraph" w:customStyle="1" w:styleId="1">
    <w:name w:val="節1"/>
    <w:link w:val="10"/>
    <w:qFormat/>
    <w:rsid w:val="00095608"/>
    <w:pPr>
      <w:widowControl/>
      <w:suppressAutoHyphens w:val="0"/>
      <w:autoSpaceDN/>
      <w:spacing w:after="60" w:line="260" w:lineRule="exact"/>
      <w:ind w:leftChars="200" w:left="780" w:hangingChars="125" w:hanging="300"/>
      <w:jc w:val="both"/>
      <w:textAlignment w:val="auto"/>
    </w:pPr>
    <w:rPr>
      <w:rFonts w:ascii="Times New Roman" w:eastAsia="華康中楷體" w:hAnsi="Times New Roman" w:cs="新細明體"/>
      <w:kern w:val="0"/>
      <w:szCs w:val="20"/>
      <w:lang w:bidi="ar-SA"/>
    </w:rPr>
  </w:style>
  <w:style w:type="paragraph" w:customStyle="1" w:styleId="aff4">
    <w:name w:val="節（一）內文"/>
    <w:link w:val="aff5"/>
    <w:qFormat/>
    <w:rsid w:val="00095608"/>
    <w:pPr>
      <w:widowControl/>
      <w:suppressAutoHyphens w:val="0"/>
      <w:autoSpaceDE w:val="0"/>
      <w:spacing w:before="40" w:after="60" w:line="400" w:lineRule="exact"/>
      <w:ind w:left="794" w:firstLine="482"/>
      <w:jc w:val="both"/>
      <w:textAlignment w:val="auto"/>
    </w:pPr>
    <w:rPr>
      <w:rFonts w:ascii="Times New Roman" w:eastAsia="華康中楷體" w:hAnsi="Times New Roman" w:cs="Times New Roman"/>
      <w:spacing w:val="6"/>
      <w:kern w:val="0"/>
      <w:szCs w:val="20"/>
      <w:lang w:bidi="ar-SA"/>
    </w:rPr>
  </w:style>
  <w:style w:type="paragraph" w:customStyle="1" w:styleId="11">
    <w:name w:val="節（1）"/>
    <w:basedOn w:val="a"/>
    <w:link w:val="12"/>
    <w:qFormat/>
    <w:rsid w:val="00095608"/>
    <w:pPr>
      <w:suppressAutoHyphens w:val="0"/>
      <w:autoSpaceDE w:val="0"/>
      <w:spacing w:before="120" w:after="60" w:line="360" w:lineRule="exact"/>
      <w:ind w:left="1275" w:hanging="595"/>
      <w:jc w:val="both"/>
      <w:textAlignment w:val="auto"/>
    </w:pPr>
    <w:rPr>
      <w:rFonts w:ascii="Times New Roman" w:eastAsia="華康中楷體" w:hAnsi="Times New Roman" w:cs="Times New Roman"/>
      <w:b/>
      <w:kern w:val="0"/>
      <w:szCs w:val="20"/>
      <w:lang w:bidi="ar-SA"/>
    </w:rPr>
  </w:style>
  <w:style w:type="paragraph" w:customStyle="1" w:styleId="aff6">
    <w:name w:val="章"/>
    <w:basedOn w:val="a"/>
    <w:qFormat/>
    <w:rsid w:val="00095608"/>
    <w:pPr>
      <w:suppressAutoHyphens w:val="0"/>
      <w:autoSpaceDE w:val="0"/>
      <w:adjustRightInd w:val="0"/>
      <w:spacing w:before="120" w:after="60"/>
      <w:jc w:val="center"/>
      <w:textAlignment w:val="auto"/>
    </w:pPr>
    <w:rPr>
      <w:rFonts w:ascii="Times New Roman" w:eastAsia="華康中黑體" w:hAnsi="Times New Roman" w:cs="Times New Roman"/>
      <w:kern w:val="0"/>
      <w:sz w:val="36"/>
      <w:szCs w:val="20"/>
      <w:lang w:bidi="ar-SA"/>
    </w:rPr>
  </w:style>
  <w:style w:type="paragraph" w:customStyle="1" w:styleId="aff7">
    <w:name w:val="條例"/>
    <w:qFormat/>
    <w:rsid w:val="00095608"/>
    <w:pPr>
      <w:widowControl/>
      <w:suppressAutoHyphens w:val="0"/>
      <w:autoSpaceDN/>
      <w:spacing w:line="400" w:lineRule="atLeast"/>
      <w:ind w:leftChars="100" w:left="610" w:hangingChars="510" w:hanging="510"/>
      <w:textAlignment w:val="auto"/>
    </w:pPr>
    <w:rPr>
      <w:rFonts w:ascii="Times New Roman" w:eastAsia="華康中楷體" w:hAnsi="Times New Roman" w:cs="新細明體"/>
      <w:kern w:val="0"/>
      <w:lang w:bidi="ar-SA"/>
    </w:rPr>
  </w:style>
  <w:style w:type="character" w:customStyle="1" w:styleId="aff5">
    <w:name w:val="節（一）內文 字元"/>
    <w:link w:val="aff4"/>
    <w:locked/>
    <w:rsid w:val="00095608"/>
    <w:rPr>
      <w:rFonts w:ascii="Times New Roman" w:eastAsia="華康中楷體" w:hAnsi="Times New Roman" w:cs="Times New Roman"/>
      <w:spacing w:val="6"/>
      <w:kern w:val="0"/>
      <w:szCs w:val="20"/>
      <w:lang w:bidi="ar-SA"/>
    </w:rPr>
  </w:style>
  <w:style w:type="character" w:customStyle="1" w:styleId="10">
    <w:name w:val="節1 字元"/>
    <w:link w:val="1"/>
    <w:rsid w:val="00095608"/>
    <w:rPr>
      <w:rFonts w:ascii="Times New Roman" w:eastAsia="華康中楷體" w:hAnsi="Times New Roman" w:cs="新細明體"/>
      <w:kern w:val="0"/>
      <w:szCs w:val="20"/>
      <w:lang w:bidi="ar-SA"/>
    </w:rPr>
  </w:style>
  <w:style w:type="character" w:customStyle="1" w:styleId="aff3">
    <w:name w:val="節（一） 字元"/>
    <w:link w:val="aff2"/>
    <w:rsid w:val="00095608"/>
    <w:rPr>
      <w:rFonts w:ascii="Times New Roman" w:eastAsia="華康中黑體" w:hAnsi="Times New Roman" w:cs="新細明體"/>
      <w:b/>
      <w:bCs/>
      <w:kern w:val="0"/>
      <w:sz w:val="26"/>
      <w:szCs w:val="20"/>
      <w:lang w:bidi="ar-SA"/>
    </w:rPr>
  </w:style>
  <w:style w:type="character" w:customStyle="1" w:styleId="12">
    <w:name w:val="節（1） 字元"/>
    <w:link w:val="11"/>
    <w:rsid w:val="00095608"/>
    <w:rPr>
      <w:rFonts w:ascii="Times New Roman" w:eastAsia="華康中楷體" w:hAnsi="Times New Roman" w:cs="Times New Roman"/>
      <w:b/>
      <w:kern w:val="0"/>
      <w:szCs w:val="20"/>
      <w:lang w:bidi="ar-SA"/>
    </w:rPr>
  </w:style>
</w:styles>
</file>

<file path=word/webSettings.xml><?xml version="1.0" encoding="utf-8"?>
<w:webSettings xmlns:r="http://schemas.openxmlformats.org/officeDocument/2006/relationships" xmlns:w="http://schemas.openxmlformats.org/wordprocessingml/2006/main">
  <w:divs>
    <w:div w:id="181602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都市計畫公開展覽說明會傳單暨公民或團體意見書</dc:title>
  <dc:creator>cn</dc:creator>
  <cp:lastModifiedBy>鄭志敏</cp:lastModifiedBy>
  <cp:revision>10</cp:revision>
  <cp:lastPrinted>2017-09-08T01:36:00Z</cp:lastPrinted>
  <dcterms:created xsi:type="dcterms:W3CDTF">2017-08-22T05:47:00Z</dcterms:created>
  <dcterms:modified xsi:type="dcterms:W3CDTF">2017-09-08T01:37:00Z</dcterms:modified>
</cp:coreProperties>
</file>